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073AF" w14:textId="77777777" w:rsidR="00026FDE" w:rsidRPr="00EE1CE5" w:rsidRDefault="00026FDE" w:rsidP="00836028">
      <w:pPr>
        <w:spacing w:after="120"/>
        <w:jc w:val="center"/>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Организация, провеждане и координация на контролно-санкционната дейност по спазване на нормативно установените изисквания, забрани и ограничения, отнасящи се до индивидуалните електрически превозни средства (ИЕПС) на територията на общината</w:t>
      </w:r>
    </w:p>
    <w:p w14:paraId="4502C8A8" w14:textId="77777777" w:rsidR="00026FDE" w:rsidRPr="00EE1CE5" w:rsidRDefault="00026FDE" w:rsidP="00836028">
      <w:pPr>
        <w:spacing w:after="120"/>
        <w:jc w:val="center"/>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(актуализиран към 6.10.2026 г.)</w:t>
      </w:r>
    </w:p>
    <w:p w14:paraId="16D8A4D5"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I. Увод</w:t>
      </w:r>
    </w:p>
    <w:p w14:paraId="10384404" w14:textId="5BF1D333"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 xml:space="preserve">Настоящият материал има за цел да подпомогне общините при организирането и практическото провеждане на контролно-санкционната дейност по отношение на индивидуалните електрически превозни средства (ИЕПС) на своята територия. Той изяснява точното съдържание и границите на компетентността на определените от кметовете служби за контрол, съотношението </w:t>
      </w:r>
      <w:r w:rsidR="009A1F06">
        <w:rPr>
          <w:rFonts w:ascii="Times New Roman" w:eastAsia="Times New Roman" w:hAnsi="Times New Roman" w:cs="Times New Roman"/>
          <w:kern w:val="0"/>
          <w:sz w:val="26"/>
          <w:szCs w:val="26"/>
          <w14:ligatures w14:val="none"/>
        </w:rPr>
        <w:t xml:space="preserve">й </w:t>
      </w:r>
      <w:r w:rsidRPr="00EE1CE5">
        <w:rPr>
          <w:rFonts w:ascii="Times New Roman" w:eastAsia="Times New Roman" w:hAnsi="Times New Roman" w:cs="Times New Roman"/>
          <w:kern w:val="0"/>
          <w:sz w:val="26"/>
          <w:szCs w:val="26"/>
          <w14:ligatures w14:val="none"/>
        </w:rPr>
        <w:t>с компетентността на органите на Министерството на вътрешните работи (МВР) и случаите, в които е необходимо съгласуване и координация на контролно-санкционната дейност между двете институции.</w:t>
      </w:r>
    </w:p>
    <w:p w14:paraId="59960F9D"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Материалът е актуализиран с оглед приетата и обнародвана Наредба за регистрацията на индивидуалните електрически превозни средства в общините (ПМС № 176 от 2.10.2026 г., обн., ДВ, бр. 92 от 6.10.2026 г.), наричана по-нататък „Наредбата“.</w:t>
      </w:r>
    </w:p>
    <w:p w14:paraId="6CE1E2C8"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II. Правно основание на контролната компетентност на общините</w:t>
      </w:r>
    </w:p>
    <w:p w14:paraId="30C61050"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Компетентността на общините по отношение на контрола върху ИЕПС произтича от ЗДвП – чл. 80а, ал. 4 и чл. 167, ал. 2, т. 5.</w:t>
      </w:r>
    </w:p>
    <w:p w14:paraId="396C981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Съгласно чл. 167, ал. 2, т. 5 ЗДвП (нова, ДВ, бр. 64 от 2025 г.) службите за контрол, определени от кметовете на общините, регистрират индивидуални електрически превозни средства и контролират изпълнението на чл. 80а. Общините имат компетентност да контролират и санкционират спазването на скоростните ограничения, изискването за каска, правилата при пресичане на платното, осветлението при намалена видимост, забраните за превозване на лица и предмети, забраните за движение в определени зони, паркирането на забранени места и всички останали задължения и забрани по ал. 1 и ал. 2 на чл. 80а ЗДвП.</w:t>
      </w:r>
    </w:p>
    <w:p w14:paraId="16129733"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Съгласно чл. 80а, ал. 4 ЗДвП общинският съвет има правомощие с наредба да определя:</w:t>
      </w:r>
    </w:p>
    <w:p w14:paraId="623F3CE4" w14:textId="77777777" w:rsidR="00026FDE" w:rsidRPr="00EE1CE5" w:rsidRDefault="00026FDE" w:rsidP="00836028">
      <w:pPr>
        <w:numPr>
          <w:ilvl w:val="0"/>
          <w:numId w:val="23"/>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по-ниски от максимално допустимите скорости по ЗДвП;</w:t>
      </w:r>
    </w:p>
    <w:p w14:paraId="2F0FEDF7" w14:textId="77777777" w:rsidR="00026FDE" w:rsidRPr="00EE1CE5" w:rsidRDefault="00026FDE" w:rsidP="00836028">
      <w:pPr>
        <w:numPr>
          <w:ilvl w:val="0"/>
          <w:numId w:val="23"/>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допълнителни ограничения за използване на ИЕПС на територията на общината;</w:t>
      </w:r>
    </w:p>
    <w:p w14:paraId="1128EF3B" w14:textId="77777777" w:rsidR="00026FDE" w:rsidRPr="00EE1CE5" w:rsidRDefault="00026FDE" w:rsidP="00836028">
      <w:pPr>
        <w:numPr>
          <w:ilvl w:val="0"/>
          <w:numId w:val="23"/>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реда за определяне на задължителните зони за паркиране на ИЕПС, включително максимално допустимия брой, както и условията и реда за тяхното предоставяне и ползване.</w:t>
      </w:r>
    </w:p>
    <w:p w14:paraId="5233A1CF" w14:textId="77777777" w:rsidR="00836028" w:rsidRDefault="00836028" w:rsidP="00836028">
      <w:pPr>
        <w:spacing w:after="120"/>
        <w:jc w:val="both"/>
        <w:rPr>
          <w:rFonts w:ascii="Times New Roman" w:eastAsia="Times New Roman" w:hAnsi="Times New Roman" w:cs="Times New Roman"/>
          <w:i/>
          <w:iCs/>
          <w:kern w:val="0"/>
          <w:sz w:val="26"/>
          <w:szCs w:val="26"/>
          <w14:ligatures w14:val="none"/>
        </w:rPr>
      </w:pPr>
    </w:p>
    <w:p w14:paraId="6A6E5D62" w14:textId="5266F0E0" w:rsidR="00026FDE" w:rsidRPr="00EE1CE5" w:rsidRDefault="004C6969"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lastRenderedPageBreak/>
        <w:t>Наредбата</w:t>
      </w:r>
      <w:r w:rsidR="00026FDE" w:rsidRPr="00EE1CE5">
        <w:rPr>
          <w:rFonts w:ascii="Times New Roman" w:eastAsia="Times New Roman" w:hAnsi="Times New Roman" w:cs="Times New Roman"/>
          <w:i/>
          <w:iCs/>
          <w:kern w:val="0"/>
          <w:sz w:val="26"/>
          <w:szCs w:val="26"/>
          <w14:ligatures w14:val="none"/>
        </w:rPr>
        <w:t xml:space="preserve"> урежда обстоятелства, които са от значение за контрола:</w:t>
      </w:r>
    </w:p>
    <w:p w14:paraId="27016639" w14:textId="77777777" w:rsidR="00026FDE" w:rsidRPr="00EE1CE5" w:rsidRDefault="00026FDE" w:rsidP="00836028">
      <w:pPr>
        <w:numPr>
          <w:ilvl w:val="0"/>
          <w:numId w:val="24"/>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достъпа на контролните служби до регистъра на ИЕПС (чл. 3, ал. 2, т. 2 и ал. 3–5 и 7);</w:t>
      </w:r>
    </w:p>
    <w:p w14:paraId="7BBB6894" w14:textId="77777777" w:rsidR="00026FDE" w:rsidRPr="00EE1CE5" w:rsidRDefault="00026FDE" w:rsidP="00836028">
      <w:pPr>
        <w:numPr>
          <w:ilvl w:val="0"/>
          <w:numId w:val="24"/>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автоматизирания достъп на органите на МВР (чл. 3, ал. 6);</w:t>
      </w:r>
    </w:p>
    <w:p w14:paraId="5FA7E7BB" w14:textId="77777777" w:rsidR="00026FDE" w:rsidRPr="00EE1CE5" w:rsidRDefault="00026FDE" w:rsidP="00836028">
      <w:pPr>
        <w:numPr>
          <w:ilvl w:val="0"/>
          <w:numId w:val="24"/>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регистрационните носители и тяхното поставяне (чл. 17–19);</w:t>
      </w:r>
    </w:p>
    <w:p w14:paraId="4771D56A" w14:textId="77777777" w:rsidR="00026FDE" w:rsidRPr="00EE1CE5" w:rsidRDefault="00026FDE" w:rsidP="00836028">
      <w:pPr>
        <w:numPr>
          <w:ilvl w:val="0"/>
          <w:numId w:val="24"/>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основанията за служебно прекратяване на регистрацията при несъответствие с определението на ИЕПС и задължението на контролните органи, общински и на МВР, да уведомяват общината по регистрацията (чл. 13, ал. 2, т. 4 и чл. 15).</w:t>
      </w:r>
    </w:p>
    <w:p w14:paraId="75150D3C"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III. Контрол по чл. 80а, ал. 1 и ал. 2 ЗДвП</w:t>
      </w:r>
    </w:p>
    <w:p w14:paraId="43A9ACCF" w14:textId="3223FDD6"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По отношение на задълженията и забраните, установени в чл. 80а, ал. 1 и ал. 2 ЗДвП, компетентността за контрол и съставяне на актове е паралелна: принадлежи на органите на МВР и на определените от кметовете на общини общински контролни служби (по чл. 167, ал. 2, т. 5 ЗДвП). Санкционното основание е чл. 183а ЗДвП (глоби от 50 до 200 лв. за водача и 500 лв. за родител, настойник или попечител по ал. 4; за липса на застраховка – по чл. 638 от Кодекса за застраховането, според състава).</w:t>
      </w:r>
    </w:p>
    <w:p w14:paraId="7E45E5EE" w14:textId="77777777"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kern w:val="0"/>
          <w:sz w:val="26"/>
          <w:szCs w:val="26"/>
          <w14:ligatures w14:val="none"/>
        </w:rPr>
        <w:t xml:space="preserve">Изключение прави забраната по чл. 80а, ал. 2, т. 1 ЗДвП (управление на нерегистрирано ИЕПС), която формално е в сила от 1 юли 2026 г. (§ 113, т. 5 от преходните и заключителните разпоредби на ЗИД на ЗДвП), но понастоящем не може да бъде ефективно прилагана </w:t>
      </w:r>
      <w:r w:rsidRPr="00EE1CE5">
        <w:rPr>
          <w:rFonts w:ascii="Times New Roman" w:eastAsia="Times New Roman" w:hAnsi="Times New Roman" w:cs="Times New Roman"/>
          <w:i/>
          <w:iCs/>
          <w:kern w:val="0"/>
          <w:sz w:val="26"/>
          <w:szCs w:val="26"/>
          <w14:ligatures w14:val="none"/>
        </w:rPr>
        <w:t xml:space="preserve">поради това, че регистрационната процедура по приетата Наредба още не е в сила. </w:t>
      </w:r>
    </w:p>
    <w:p w14:paraId="508BA8B6" w14:textId="6A77B7D4"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Разпоредбите за подаване на заявления, вписване и промени (глава втора) влизат в сила в началото на октомври 2027 г. (§ 2 от заключителните разпоредби на Наредбата), и до този момент собствениците на ИЕПС обективно нямат възможност да изпълнят задължението за регистрация. Освен това Наредбата не съдържа преходен срок за регистрация на вече използваните ИЕПС.</w:t>
      </w:r>
      <w:r w:rsidRPr="00EE1CE5">
        <w:rPr>
          <w:rFonts w:ascii="Times New Roman" w:eastAsia="Times New Roman" w:hAnsi="Times New Roman" w:cs="Times New Roman"/>
          <w:kern w:val="0"/>
          <w:sz w:val="26"/>
          <w:szCs w:val="26"/>
          <w14:ligatures w14:val="none"/>
        </w:rPr>
        <w:t xml:space="preserve"> </w:t>
      </w:r>
    </w:p>
    <w:p w14:paraId="5F575E55" w14:textId="18D43260"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 xml:space="preserve">Съставянето на актове по този конкретен състав, докато собствениците на ИЕПС обективно нямат възможност да изпълнят задължението за регистрация, </w:t>
      </w:r>
      <w:r w:rsidRPr="00EE1CE5">
        <w:rPr>
          <w:rFonts w:ascii="Times New Roman" w:eastAsia="Times New Roman" w:hAnsi="Times New Roman" w:cs="Times New Roman"/>
          <w:i/>
          <w:iCs/>
          <w:kern w:val="0"/>
          <w:sz w:val="26"/>
          <w:szCs w:val="26"/>
          <w14:ligatures w14:val="none"/>
        </w:rPr>
        <w:t>а след това и преди да им е даден разумен срок за регистрация,</w:t>
      </w:r>
      <w:r w:rsidRPr="00EE1CE5">
        <w:rPr>
          <w:rFonts w:ascii="Times New Roman" w:eastAsia="Times New Roman" w:hAnsi="Times New Roman" w:cs="Times New Roman"/>
          <w:kern w:val="0"/>
          <w:sz w:val="26"/>
          <w:szCs w:val="26"/>
          <w14:ligatures w14:val="none"/>
        </w:rPr>
        <w:t xml:space="preserve"> крие риск от отмяна на наказателните постановления.</w:t>
      </w:r>
    </w:p>
    <w:p w14:paraId="35CADA9E"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IV. Специфичен режим на местните ограничения по чл. 80а, ал. 4 ЗДвП</w:t>
      </w:r>
    </w:p>
    <w:p w14:paraId="42319CEA"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Местните ограничения по чл. 80а, ал. 4 ЗДвП се подчиняват на различен правен режим. Чл. 183а ЗДвП препраща към конкретни точки на ал. 1 и ал. 2, т.е. не съдържа санкционен състав за нарушение на местните ограничения по ал. 4. Следователно санкцията за нарушаване на местните ограничения по ал. 4 се урежда в общинска наредба, по силата на общата компетентност на общинския съвет по чл. 22, ал. 4 ЗМСМА.</w:t>
      </w:r>
    </w:p>
    <w:p w14:paraId="432E6C70" w14:textId="77777777" w:rsidR="00836028" w:rsidRDefault="00836028" w:rsidP="00836028">
      <w:pPr>
        <w:spacing w:after="120"/>
        <w:jc w:val="both"/>
        <w:rPr>
          <w:rFonts w:ascii="Times New Roman" w:eastAsia="Times New Roman" w:hAnsi="Times New Roman" w:cs="Times New Roman"/>
          <w:b/>
          <w:bCs/>
          <w:kern w:val="0"/>
          <w:sz w:val="26"/>
          <w:szCs w:val="26"/>
          <w14:ligatures w14:val="none"/>
        </w:rPr>
      </w:pPr>
    </w:p>
    <w:p w14:paraId="045D9BB9" w14:textId="21D35346"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lastRenderedPageBreak/>
        <w:t>V. Наредбата по чл. 80а, ал. 9 ЗДвП</w:t>
      </w:r>
    </w:p>
    <w:p w14:paraId="162BAC1A"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Наредбата на Министерския съвет по чл. 80а, ал. 9 ЗДвП е приета с ПМС № 176 от 2.10.2026 г. и обнародвана в ДВ, бр. 92 от 6.10.2026 г. Тя влиза в сила на етапи (§ 2 от заключителните разпоредби):</w:t>
      </w:r>
    </w:p>
    <w:p w14:paraId="24761526" w14:textId="77777777" w:rsidR="00026FDE" w:rsidRPr="00EE1CE5" w:rsidRDefault="00026FDE" w:rsidP="00836028">
      <w:pPr>
        <w:numPr>
          <w:ilvl w:val="0"/>
          <w:numId w:val="25"/>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от 9.10.2026 г. (три дни след обнародването) са в сила общите положения (чл. 1–4) и разпоредбите за регистрационните носители (чл. 17–19);</w:t>
      </w:r>
    </w:p>
    <w:p w14:paraId="61161304" w14:textId="77777777" w:rsidR="00026FDE" w:rsidRPr="00EE1CE5" w:rsidRDefault="00026FDE" w:rsidP="00836028">
      <w:pPr>
        <w:numPr>
          <w:ilvl w:val="0"/>
          <w:numId w:val="25"/>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в началото на октомври 2027 г. (12 месеца след обнародването) влизат в сила глава втора (чл. 5–16 – първоначална регистрация, промени, прекратяване и възстановяване) и глава четвърта (чл. 20–21 – отчет).</w:t>
      </w:r>
    </w:p>
    <w:p w14:paraId="26E473D8" w14:textId="03F2FB26"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За контролната дейност това има следните последици</w:t>
      </w:r>
      <w:r w:rsidR="00EE1CE5" w:rsidRPr="00EE1CE5">
        <w:rPr>
          <w:rFonts w:ascii="Times New Roman" w:eastAsia="Times New Roman" w:hAnsi="Times New Roman" w:cs="Times New Roman"/>
          <w:i/>
          <w:iCs/>
          <w:kern w:val="0"/>
          <w:sz w:val="26"/>
          <w:szCs w:val="26"/>
          <w14:ligatures w14:val="none"/>
        </w:rPr>
        <w:t>:</w:t>
      </w:r>
    </w:p>
    <w:p w14:paraId="253CF4D2" w14:textId="1F9D41B4" w:rsidR="00026FDE" w:rsidRPr="00EE1CE5" w:rsidRDefault="00026FDE" w:rsidP="00836028">
      <w:pPr>
        <w:pStyle w:val="ListParagraph"/>
        <w:numPr>
          <w:ilvl w:val="0"/>
          <w:numId w:val="34"/>
        </w:numPr>
        <w:spacing w:after="120"/>
        <w:contextualSpacing w:val="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Регистърът по чл. 80а, ал. 5 ЗДвП се създава и поддържа от ДАБДП. Според § 5, ал. 2 от заключителната разпоредба на ЗИД на ЗДвП (ДВ, бр. 16 от 2026 г.) председателят на ДАБДП го изгражда в срок до пет месеца от влизането на закона в сила. Нямаме информация дали към момента той е въведен в експлоатация.</w:t>
      </w:r>
    </w:p>
    <w:p w14:paraId="2E88DD7A" w14:textId="6EEE4C09" w:rsidR="00026FDE" w:rsidRPr="00EE1CE5" w:rsidRDefault="00026FDE" w:rsidP="00836028">
      <w:pPr>
        <w:pStyle w:val="ListParagraph"/>
        <w:numPr>
          <w:ilvl w:val="0"/>
          <w:numId w:val="34"/>
        </w:numPr>
        <w:spacing w:after="120"/>
        <w:contextualSpacing w:val="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Макар глава трета (носителите) да е в сила от 9.10.2026 г., на практика тя не може да се прилага преди старта на регистрацията, защото регистърът генерира регистрационния номер автоматично при вписването (чл. 17, ал. 3), а носителите се издават след вписването (чл. 17, ал. 1). Затова до началото на октомври 2027 г. няма регистрирани ИЕПС и няма издадени носители. Основанието за липса на регистрация по чл. 19, ал. 3 – липса и на двата носителя – не може да бъде установявано.</w:t>
      </w:r>
    </w:p>
    <w:p w14:paraId="53A56C35" w14:textId="60D7F91B"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i/>
          <w:iCs/>
          <w:kern w:val="0"/>
          <w:sz w:val="26"/>
          <w:szCs w:val="26"/>
          <w14:ligatures w14:val="none"/>
        </w:rPr>
        <w:t xml:space="preserve">До практическото стартиране на регистрацията </w:t>
      </w:r>
      <w:r w:rsidR="00EE1CE5" w:rsidRPr="00EE1CE5">
        <w:rPr>
          <w:rFonts w:ascii="Times New Roman" w:eastAsia="Times New Roman" w:hAnsi="Times New Roman" w:cs="Times New Roman"/>
          <w:b/>
          <w:bCs/>
          <w:i/>
          <w:iCs/>
          <w:kern w:val="0"/>
          <w:sz w:val="26"/>
          <w:szCs w:val="26"/>
          <w14:ligatures w14:val="none"/>
        </w:rPr>
        <w:t xml:space="preserve">препоръчваме </w:t>
      </w:r>
      <w:r w:rsidRPr="00EE1CE5">
        <w:rPr>
          <w:rFonts w:ascii="Times New Roman" w:eastAsia="Times New Roman" w:hAnsi="Times New Roman" w:cs="Times New Roman"/>
          <w:b/>
          <w:bCs/>
          <w:i/>
          <w:iCs/>
          <w:kern w:val="0"/>
          <w:sz w:val="26"/>
          <w:szCs w:val="26"/>
          <w14:ligatures w14:val="none"/>
        </w:rPr>
        <w:t xml:space="preserve">общините да не санкционират по чл. 80а, ал. 2, т. 1 ЗДвП. </w:t>
      </w:r>
      <w:r w:rsidR="00EE1CE5" w:rsidRPr="00EE1CE5">
        <w:rPr>
          <w:rFonts w:ascii="Times New Roman" w:eastAsia="Times New Roman" w:hAnsi="Times New Roman" w:cs="Times New Roman"/>
          <w:b/>
          <w:bCs/>
          <w:i/>
          <w:iCs/>
          <w:kern w:val="0"/>
          <w:sz w:val="26"/>
          <w:szCs w:val="26"/>
          <w14:ligatures w14:val="none"/>
        </w:rPr>
        <w:t>Т</w:t>
      </w:r>
      <w:r w:rsidRPr="00EE1CE5">
        <w:rPr>
          <w:rFonts w:ascii="Times New Roman" w:eastAsia="Times New Roman" w:hAnsi="Times New Roman" w:cs="Times New Roman"/>
          <w:b/>
          <w:bCs/>
          <w:i/>
          <w:iCs/>
          <w:kern w:val="0"/>
          <w:sz w:val="26"/>
          <w:szCs w:val="26"/>
          <w14:ligatures w14:val="none"/>
        </w:rPr>
        <w:t xml:space="preserve">ова </w:t>
      </w:r>
      <w:r w:rsidR="00EE1CE5" w:rsidRPr="00EE1CE5">
        <w:rPr>
          <w:rFonts w:ascii="Times New Roman" w:eastAsia="Times New Roman" w:hAnsi="Times New Roman" w:cs="Times New Roman"/>
          <w:b/>
          <w:bCs/>
          <w:i/>
          <w:iCs/>
          <w:kern w:val="0"/>
          <w:sz w:val="26"/>
          <w:szCs w:val="26"/>
          <w14:ligatures w14:val="none"/>
        </w:rPr>
        <w:t xml:space="preserve">следва </w:t>
      </w:r>
      <w:r w:rsidRPr="00EE1CE5">
        <w:rPr>
          <w:rFonts w:ascii="Times New Roman" w:eastAsia="Times New Roman" w:hAnsi="Times New Roman" w:cs="Times New Roman"/>
          <w:b/>
          <w:bCs/>
          <w:i/>
          <w:iCs/>
          <w:kern w:val="0"/>
          <w:sz w:val="26"/>
          <w:szCs w:val="26"/>
          <w14:ligatures w14:val="none"/>
        </w:rPr>
        <w:t xml:space="preserve">да се съгласува </w:t>
      </w:r>
      <w:r w:rsidR="00EE1CE5" w:rsidRPr="00EE1CE5">
        <w:rPr>
          <w:rFonts w:ascii="Times New Roman" w:eastAsia="Times New Roman" w:hAnsi="Times New Roman" w:cs="Times New Roman"/>
          <w:b/>
          <w:bCs/>
          <w:i/>
          <w:iCs/>
          <w:kern w:val="0"/>
          <w:sz w:val="26"/>
          <w:szCs w:val="26"/>
          <w14:ligatures w14:val="none"/>
        </w:rPr>
        <w:t xml:space="preserve">и </w:t>
      </w:r>
      <w:r w:rsidRPr="00EE1CE5">
        <w:rPr>
          <w:rFonts w:ascii="Times New Roman" w:eastAsia="Times New Roman" w:hAnsi="Times New Roman" w:cs="Times New Roman"/>
          <w:b/>
          <w:bCs/>
          <w:i/>
          <w:iCs/>
          <w:kern w:val="0"/>
          <w:sz w:val="26"/>
          <w:szCs w:val="26"/>
          <w14:ligatures w14:val="none"/>
        </w:rPr>
        <w:t>с органите на МВР (вж. раздел IX).</w:t>
      </w:r>
    </w:p>
    <w:p w14:paraId="0C3513C2"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VI. Технически способи за установяване на конкретните нарушения</w:t>
      </w:r>
    </w:p>
    <w:p w14:paraId="6B43BF88"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По-голямата част от съставите по чл. 80а ЗДвП са визуално установими и не изискват специализирана техника. Те могат да се установят чрез пряко наблюдение и спиране на водача на място от служители на общинските структури за контрол по ЗДвП. Това се отнася за:</w:t>
      </w:r>
    </w:p>
    <w:p w14:paraId="2117BE3E"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липсата на каска (ал. 1, т. 3);</w:t>
      </w:r>
    </w:p>
    <w:p w14:paraId="26EA117D"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неправилното пресичане на пешеходна пътека (ал. 1, т. 5);</w:t>
      </w:r>
    </w:p>
    <w:p w14:paraId="7CADAE64"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липсата на осветление или светлоотразителна жилетка при намалена видимост (ал. 1, т. 4);</w:t>
      </w:r>
    </w:p>
    <w:p w14:paraId="2E082532"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движението извън определената велоинфраструктура (ал. 1, т. 1);</w:t>
      </w:r>
    </w:p>
    <w:p w14:paraId="0987B42D"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превозването на друго лице, животно или предмети (ал. 2, т. 8, т. 9, т. 14);</w:t>
      </w:r>
    </w:p>
    <w:p w14:paraId="3617E0FD"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lastRenderedPageBreak/>
        <w:t>движението по забранени пешеходни площи или в забранени зони (ал. 2, т. 3–5, т. 12);</w:t>
      </w:r>
    </w:p>
    <w:p w14:paraId="4D1F1E0E"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паркирането на забранено място (ал. 2, т. 15);</w:t>
      </w:r>
    </w:p>
    <w:p w14:paraId="3DD0D840"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използването на телефон без хендсфри (ал. 2, т. 13);</w:t>
      </w:r>
    </w:p>
    <w:p w14:paraId="1004EEF0" w14:textId="77777777" w:rsidR="00026FDE" w:rsidRPr="00EE1CE5" w:rsidRDefault="00026FDE" w:rsidP="00836028">
      <w:pPr>
        <w:numPr>
          <w:ilvl w:val="0"/>
          <w:numId w:val="26"/>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явно нетипичното поведение като скокове или каране на едно колело (ал. 2, т. 7).</w:t>
      </w:r>
    </w:p>
    <w:p w14:paraId="284F1EF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При всеки от тези случаи е възможно да се правят снимков или видеоматериал, които да се прилагат към преписката. Това не е реквизит по ЗАНН, но подсилва доказателствената позиция на общината при последващо оспорване.</w:t>
      </w:r>
    </w:p>
    <w:p w14:paraId="7E62CE67"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Съгласно чл. 31а, ал. 2 ЗБЛД лице, навършило 14 г., е длъжно да притежава лична карта. АУАН по чл. 80а, ал. 3 ЗДвП (управление на ИЕПС от водач под шестнадесет години) не се съставя, ако данните по чл. 42, ал. 1, т. 6 ЗАНН не произтичат от един от следните източници:</w:t>
      </w:r>
    </w:p>
    <w:p w14:paraId="2F9530DE" w14:textId="77777777" w:rsidR="00026FDE" w:rsidRPr="00EE1CE5" w:rsidRDefault="00026FDE" w:rsidP="00836028">
      <w:pPr>
        <w:numPr>
          <w:ilvl w:val="0"/>
          <w:numId w:val="27"/>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доброволно представяне от водача на личен документ на място;</w:t>
      </w:r>
    </w:p>
    <w:p w14:paraId="09807A69" w14:textId="77777777" w:rsidR="00026FDE" w:rsidRPr="00EE1CE5" w:rsidRDefault="00026FDE" w:rsidP="00836028">
      <w:pPr>
        <w:numPr>
          <w:ilvl w:val="0"/>
          <w:numId w:val="27"/>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установяване на самоличността на водача от общинска администрация или МВР по реда на чл. 43, ал. 3 ЗАНН.</w:t>
      </w:r>
    </w:p>
    <w:p w14:paraId="20E4C5BE"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Всяко отклонение от горното прави АУАН уязвим от отмяна поради недоказаност на съществен елемент от състава на нарушението.</w:t>
      </w:r>
    </w:p>
    <w:p w14:paraId="07109C02" w14:textId="77777777" w:rsidR="00A767AE" w:rsidRDefault="00EE1CE5" w:rsidP="00836028">
      <w:pPr>
        <w:pStyle w:val="NormalWeb"/>
        <w:spacing w:before="0" w:beforeAutospacing="0" w:after="120" w:afterAutospacing="0" w:line="259" w:lineRule="auto"/>
        <w:jc w:val="both"/>
        <w:rPr>
          <w:rStyle w:val="Emphasis"/>
          <w:noProof/>
          <w:sz w:val="26"/>
          <w:szCs w:val="26"/>
          <w:lang w:val="bg-BG"/>
        </w:rPr>
      </w:pPr>
      <w:r w:rsidRPr="00EE1CE5">
        <w:rPr>
          <w:rStyle w:val="Emphasis"/>
          <w:noProof/>
          <w:sz w:val="26"/>
          <w:szCs w:val="26"/>
          <w:lang w:val="bg-BG"/>
        </w:rPr>
        <w:t>След старта на регистрацията контрол</w:t>
      </w:r>
      <w:r>
        <w:rPr>
          <w:rStyle w:val="Emphasis"/>
          <w:noProof/>
          <w:sz w:val="26"/>
          <w:szCs w:val="26"/>
          <w:lang w:val="bg-BG"/>
        </w:rPr>
        <w:t xml:space="preserve">а </w:t>
      </w:r>
      <w:r w:rsidRPr="00EE1CE5">
        <w:rPr>
          <w:rStyle w:val="Emphasis"/>
          <w:noProof/>
          <w:sz w:val="26"/>
          <w:szCs w:val="26"/>
          <w:lang w:val="bg-BG"/>
        </w:rPr>
        <w:t>ще включва и установяване дали ИЕПС е регистрирано. За всяко регистрирано ИЕПС регистърът генерира удостоверение за регистрация, което се подписва от лицето, извършило вписването, и се предоставя на собственика по електронен път (на хартиен носител – при изрично искане или когато не е посочена електронна поща) (чл. 4).</w:t>
      </w:r>
    </w:p>
    <w:p w14:paraId="53E48F9C" w14:textId="233DB0C6" w:rsidR="00EE1CE5" w:rsidRPr="00EE1CE5" w:rsidRDefault="00EE1CE5" w:rsidP="00836028">
      <w:pPr>
        <w:pStyle w:val="NormalWeb"/>
        <w:spacing w:before="0" w:beforeAutospacing="0" w:after="120" w:afterAutospacing="0" w:line="259" w:lineRule="auto"/>
        <w:jc w:val="both"/>
        <w:rPr>
          <w:noProof/>
          <w:sz w:val="26"/>
          <w:szCs w:val="26"/>
          <w:lang w:val="bg-BG"/>
        </w:rPr>
      </w:pPr>
      <w:r w:rsidRPr="00EE1CE5">
        <w:rPr>
          <w:rStyle w:val="Emphasis"/>
          <w:noProof/>
          <w:sz w:val="26"/>
          <w:szCs w:val="26"/>
          <w:lang w:val="bg-BG"/>
        </w:rPr>
        <w:t>Носителите на регистрационния номер са два: хоризонтален, в долната част отляво на платформата за стъпване, и вертикален, в дясната горна част на кормилната колона. Размерът на всеки е 30 × 200 мм. Когато поставянето на тези места е обективно невъзможно поради конструкцията, собственикът е длъжен да ги постави на друго видимо и подходящо място (чл. 19, ал. 2). При липса едновременно на двата поставени носителя ИЕПС се счита за нерегистрирано (ал. 3). Липсата само на един носител не е уредена като нерегистрирано ИЕПС, а според нашия прочит неспазването на изискването за поставяне на носителите не е самостоятелен състав по чл. 183а ЗДвП, тъй като чл. 80а не съдържа такова задължение за водача. Тъй като размерът на носителите е малък, идентификацията е възможна само при непосредствена близост до превозното средство.</w:t>
      </w:r>
    </w:p>
    <w:p w14:paraId="0266480A" w14:textId="77777777" w:rsidR="00EE1CE5" w:rsidRPr="00EE1CE5" w:rsidRDefault="00EE1CE5" w:rsidP="00836028">
      <w:pPr>
        <w:pStyle w:val="NormalWeb"/>
        <w:spacing w:before="0" w:beforeAutospacing="0" w:after="120" w:afterAutospacing="0" w:line="259" w:lineRule="auto"/>
        <w:jc w:val="both"/>
        <w:rPr>
          <w:noProof/>
          <w:sz w:val="26"/>
          <w:szCs w:val="26"/>
          <w:lang w:val="bg-BG"/>
        </w:rPr>
      </w:pPr>
      <w:r w:rsidRPr="00EE1CE5">
        <w:rPr>
          <w:rStyle w:val="Emphasis"/>
          <w:noProof/>
          <w:sz w:val="26"/>
          <w:szCs w:val="26"/>
          <w:lang w:val="bg-BG"/>
        </w:rPr>
        <w:t xml:space="preserve">Носителите се издават в срок до седем дни след вписването (чл. 17, ал. 1), а удостоверението се генерира още при вписването. Наредбата не задължава собственика да носи удостоверението и не го приравнява на носителите. Затова, когато собственикът представи удостоверение за регистрация (на хартия или в </w:t>
      </w:r>
      <w:r w:rsidRPr="00EE1CE5">
        <w:rPr>
          <w:rStyle w:val="Emphasis"/>
          <w:noProof/>
          <w:sz w:val="26"/>
          <w:szCs w:val="26"/>
          <w:lang w:val="bg-BG"/>
        </w:rPr>
        <w:lastRenderedPageBreak/>
        <w:t>електронен вид) и носителите още не са му издадени или са му издадени съвсем скоро, препоръчваме контролните служби да проверят данните в регистъра и да не съставят акт по чл. 80а, ал. 2, т. 1, а да му дадат възможност да получи и постави носителите. Това е практическа препоръка, а не правило от Наредбата.</w:t>
      </w:r>
    </w:p>
    <w:p w14:paraId="28E65E7B" w14:textId="70D15D1A" w:rsidR="00EE1CE5" w:rsidRPr="00EE1CE5" w:rsidRDefault="00EE1CE5" w:rsidP="00836028">
      <w:pPr>
        <w:pStyle w:val="NormalWeb"/>
        <w:spacing w:before="0" w:beforeAutospacing="0" w:after="120" w:afterAutospacing="0" w:line="259" w:lineRule="auto"/>
        <w:jc w:val="both"/>
        <w:rPr>
          <w:noProof/>
          <w:sz w:val="26"/>
          <w:szCs w:val="26"/>
          <w:lang w:val="bg-BG"/>
        </w:rPr>
      </w:pPr>
      <w:r w:rsidRPr="00EE1CE5">
        <w:rPr>
          <w:rStyle w:val="Emphasis"/>
          <w:noProof/>
          <w:sz w:val="26"/>
          <w:szCs w:val="26"/>
          <w:lang w:val="bg-BG"/>
        </w:rPr>
        <w:t xml:space="preserve">Контролните служители, определени по чл. 3, ал. 2, т. 2 от Наредбата, ще имат достъп до регистъра и ще могат да проверяват статуса на регистрацията. Достъпът е подчинен на процедурата в чл. 3, ал. 3–5 и 7 (вж. раздел VIII). Регистърът не съдържа данни за застраховка. Затова той не замества проверката по чл. 80а, ал. 1, т. 6 ЗДвП. Регистрацията не променя и принципа, че се санкционира водачът (чл. 183а ЗДвП). Наредбата не въвежда отговорност на собственика за нарушения, установени в отсъствие на водача. </w:t>
      </w:r>
    </w:p>
    <w:p w14:paraId="715B76DB" w14:textId="1A4564BB"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Изискването за наличие на застраховка „Гражданска отговорност“ (ал. 1, т. 6) се установява чрез проверка на документ на място (хартиен или електронен полица или удостоверение) или, при наличие на техническа възможност за общината, чрез отдалечена справка в информационния регистър на застрахователите. Това е възможно доколкото такъв достъп бъде осигурен на общинските контролни служби, каквато практика съществува за органите на МВР при проверка на моторни превозни средства.</w:t>
      </w:r>
    </w:p>
    <w:p w14:paraId="29A0E62A" w14:textId="77777777"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Наредбата поставя нов въпрос пред контролните органи. Те са длъжни да уведомяват писмено общината по регистрацията на превозното средство в срок до три работни дни от установяване на нарушения, свързани с техническите характеристики, поради които превозното средство не съответства на определението по § 6, т. 18б от допълнителните разпоредби на ЗДвП (чл. 15, ал. 2). </w:t>
      </w:r>
    </w:p>
    <w:p w14:paraId="5B6C1A57" w14:textId="77777777"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На това уведомление се основава служебното прекратяване на регистрацията от длъжностните лица по чл. 3, ал. 2, т. 1 (чл. 13, ал. 2, т. 4 и чл. 15, ал. 1). </w:t>
      </w:r>
    </w:p>
    <w:p w14:paraId="4912FF08" w14:textId="77777777"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Наредбата обаче не предвижда как се установява несъответствието. Определението включва максимална конструктивна скорост (над 6 и до 25 km/h), собствена маса до 50 kg и височина на точка R на седалката. </w:t>
      </w:r>
    </w:p>
    <w:p w14:paraId="2EEAE506" w14:textId="2FCE5BC0"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Максималната конструктивна скорост е конструктивна характеристика и не се установява с измерване на реалната скорост при пътна проверка</w:t>
      </w:r>
      <w:r w:rsidR="00EE1CE5" w:rsidRPr="00EE1CE5">
        <w:rPr>
          <w:rFonts w:ascii="Times New Roman" w:eastAsia="Times New Roman" w:hAnsi="Times New Roman" w:cs="Times New Roman"/>
          <w:i/>
          <w:iCs/>
          <w:kern w:val="0"/>
          <w:sz w:val="26"/>
          <w:szCs w:val="26"/>
          <w14:ligatures w14:val="none"/>
        </w:rPr>
        <w:t>.</w:t>
      </w:r>
      <w:r w:rsidRPr="00EE1CE5">
        <w:rPr>
          <w:rFonts w:ascii="Times New Roman" w:eastAsia="Times New Roman" w:hAnsi="Times New Roman" w:cs="Times New Roman"/>
          <w:i/>
          <w:iCs/>
          <w:kern w:val="0"/>
          <w:sz w:val="26"/>
          <w:szCs w:val="26"/>
          <w14:ligatures w14:val="none"/>
        </w:rPr>
        <w:t xml:space="preserve"> </w:t>
      </w:r>
    </w:p>
    <w:p w14:paraId="5CEB9FCD" w14:textId="3C7E5EF9"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Препоръчваме общинските контролни служби да уведомяват по чл. 15, ал. 2 само при очевидни и документирани несъответствия и да не извършват технически изпитвания без правно основание.</w:t>
      </w:r>
    </w:p>
    <w:p w14:paraId="565E5935"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Отделен и практически по-сложен е въпросът за установяването на превишена скорост – както по общата граница на ЗДвП от 25 km/h, така и по въведените от общинския съвет по-ниски от 25 km/h местни ограничения.</w:t>
      </w:r>
    </w:p>
    <w:p w14:paraId="7C912902"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 xml:space="preserve">Тъй като автоматизираният режим по чл. 167в–167г ЗДвП е конструиран само за връзка с МВР и изключва хипотезата на чл. 167, ал. 2 ЗДвП, общинските АТСС не </w:t>
      </w:r>
      <w:r w:rsidRPr="00EE1CE5">
        <w:rPr>
          <w:rFonts w:ascii="Times New Roman" w:eastAsia="Times New Roman" w:hAnsi="Times New Roman" w:cs="Times New Roman"/>
          <w:kern w:val="0"/>
          <w:sz w:val="26"/>
          <w:szCs w:val="26"/>
          <w14:ligatures w14:val="none"/>
        </w:rPr>
        <w:lastRenderedPageBreak/>
        <w:t>могат да бъдат използвани за установяване на скоростни нарушения на ИЕПС. Следователно, ако общината иска самостоятелно да контролира скоростта на ИЕПС по стандартния модел на чл. 189, ал. 1 ЗДвП (личен контрол от служител на терен), тя се нуждае от самостоятелно измервателно устройство – мобилен радар, лазерен пистолет или друго устройство, метрологично проверени съгласно Закона за измерванията, които не са част от инфраструктурата на АТСС по чл. 167в ЗДвП.</w:t>
      </w:r>
    </w:p>
    <w:p w14:paraId="67DF1B00"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Добра практика, прилагана в общините, е в съответната наредба на общинския съвет да се заложи задължение на операторите на споделени или наемни ИЕПС да ограничат софтуерно скоростта на превозните си средства. Този модел измества тежестта на общинския контрол от индивидуалното измерване на скоростта на ИЕПС към проверка на съответствието на системата на оператора и не изисква инвестиция в измервателна техника.</w:t>
      </w:r>
    </w:p>
    <w:p w14:paraId="751BB0C7"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В наредбите си общините обичайно вписват структури на МВР като носител на пълноценна контролна и актосъставителна компетентност по съответната наредба, без разграничение между състави за ИЕПС, произтичащи от ЗДвП, и състави, съществуващи по силата на съответната общинска наредба. В този случай от решаващо значение е дали посочената в наредбата структура на МВР разполага с технологичен капацитет да контролира скоростните режими за ИЕПС съобразно изискванията на ЗДвП и съответната наредба на общинския съвет.</w:t>
      </w:r>
    </w:p>
    <w:p w14:paraId="4259C412"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VII. Организация на движението и сигнализация на ИЕПС</w:t>
      </w:r>
    </w:p>
    <w:p w14:paraId="08C3B119"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Интегрирането на електрическите тротинетки в градската среда изисква общините да заложат ясни правила в своите наредби, които след това да материализират на пътя чрез унифицирана пътна сигнализация.</w:t>
      </w:r>
    </w:p>
    <w:p w14:paraId="566DB54B"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Тъй като ЗДвП приравнява голяма част от задълженията на водачите на ИЕПС към тези на велосипедистите, пътните знаци се използват в две основни направления:</w:t>
      </w:r>
    </w:p>
    <w:p w14:paraId="49D0D457" w14:textId="77777777" w:rsidR="00026FDE" w:rsidRPr="00EE1CE5" w:rsidRDefault="00026FDE" w:rsidP="00836028">
      <w:pPr>
        <w:numPr>
          <w:ilvl w:val="0"/>
          <w:numId w:val="28"/>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за обозначаване на участието на ИЕПС в движението;</w:t>
      </w:r>
    </w:p>
    <w:p w14:paraId="6B6EDC21" w14:textId="77777777" w:rsidR="00026FDE" w:rsidRPr="00EE1CE5" w:rsidRDefault="00026FDE" w:rsidP="00836028">
      <w:pPr>
        <w:numPr>
          <w:ilvl w:val="0"/>
          <w:numId w:val="28"/>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за налагане на ограничителни мерки в градски зони.</w:t>
      </w:r>
    </w:p>
    <w:p w14:paraId="16FFC59E"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Обозначаване на участието на ИЕПС в движението.</w:t>
      </w:r>
      <w:r w:rsidRPr="00EE1CE5">
        <w:rPr>
          <w:rFonts w:ascii="Times New Roman" w:eastAsia="Times New Roman" w:hAnsi="Times New Roman" w:cs="Times New Roman"/>
          <w:kern w:val="0"/>
          <w:sz w:val="26"/>
          <w:szCs w:val="26"/>
          <w14:ligatures w14:val="none"/>
        </w:rPr>
        <w:t xml:space="preserve"> Основният стълб за движение на ИЕПС е велосипедната мрежа. Общините обозначават тези трасета с пътен знак Г11 („Задължителен велосипеден път“). В зони, където пешеходният поток и алтернативният транспорт трябва да се съвместят, се поставя пътен знак Г12 („Задължителен път само за пешеходци и велосипедисти“). При наличие на обособени алеи само за ИЕПС се използва новият знак Г14, чиято пиктограма ясно дефинира предназначението на пътя.</w:t>
      </w:r>
    </w:p>
    <w:p w14:paraId="6D4CF9F7"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Обозначаване на териториални забрани и ограничения.</w:t>
      </w:r>
      <w:r w:rsidRPr="00EE1CE5">
        <w:rPr>
          <w:rFonts w:ascii="Times New Roman" w:eastAsia="Times New Roman" w:hAnsi="Times New Roman" w:cs="Times New Roman"/>
          <w:kern w:val="0"/>
          <w:sz w:val="26"/>
          <w:szCs w:val="26"/>
          <w14:ligatures w14:val="none"/>
        </w:rPr>
        <w:t xml:space="preserve"> Когато общината реши изцяло да ограничи движението на ИЕПС в определени градски части (например исторически центрове или натоварени търговски улици), тя поставя пътен знак В9 („Забранено е влизането на велосипеди“). Съгласно чл. 80а ЗДвП </w:t>
      </w:r>
      <w:r w:rsidRPr="00EE1CE5">
        <w:rPr>
          <w:rFonts w:ascii="Times New Roman" w:eastAsia="Times New Roman" w:hAnsi="Times New Roman" w:cs="Times New Roman"/>
          <w:kern w:val="0"/>
          <w:sz w:val="26"/>
          <w:szCs w:val="26"/>
          <w14:ligatures w14:val="none"/>
        </w:rPr>
        <w:lastRenderedPageBreak/>
        <w:t>тази забрана е валидна и за водачите на ИЕПС. Аналогично действа и знак Д20 („Пешеходна зона“). В неговия обхват карането е забранено, а преминаването става единствено чрез бутане на превозното средство. За контрол на скоростта общините използват знак В26 („Забранено е движението с автомобилна скорост, по-висока от...“), като локално залагат лимити от 10 до 15 km/h за паркове и градски градини.</w:t>
      </w:r>
    </w:p>
    <w:p w14:paraId="3D1E6215"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Ролята на допълнителните табели (група „Т“).</w:t>
      </w:r>
      <w:r w:rsidRPr="00EE1CE5">
        <w:rPr>
          <w:rFonts w:ascii="Times New Roman" w:eastAsia="Times New Roman" w:hAnsi="Times New Roman" w:cs="Times New Roman"/>
          <w:kern w:val="0"/>
          <w:sz w:val="26"/>
          <w:szCs w:val="26"/>
          <w14:ligatures w14:val="none"/>
        </w:rPr>
        <w:t xml:space="preserve"> Ключов инструмент за прецизност при сигнализацията са допълнителните табели от група „Т“. Тъй като стандартните знаци (като тези за ограничение на скоростта или забрана за престой) засягат всички участници, общините поставят правоъгълни табели с пиктограма на електрическа тротинетка под тях. По този начин местната власт може да укаже, че:</w:t>
      </w:r>
    </w:p>
    <w:p w14:paraId="51A58217" w14:textId="77777777" w:rsidR="00026FDE" w:rsidRPr="00EE1CE5" w:rsidRDefault="00026FDE" w:rsidP="00836028">
      <w:pPr>
        <w:numPr>
          <w:ilvl w:val="0"/>
          <w:numId w:val="29"/>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дадена забрана важи само за ИЕПС;</w:t>
      </w:r>
    </w:p>
    <w:p w14:paraId="557C8A9D" w14:textId="77777777" w:rsidR="00026FDE" w:rsidRPr="00EE1CE5" w:rsidRDefault="00026FDE" w:rsidP="00836028">
      <w:pPr>
        <w:numPr>
          <w:ilvl w:val="0"/>
          <w:numId w:val="29"/>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дадено изключение (например разрешено влизане в еднопосочна улица обратно на движението) е в сила специално за тях;</w:t>
      </w:r>
    </w:p>
    <w:p w14:paraId="25DE9635" w14:textId="77777777" w:rsidR="00026FDE" w:rsidRPr="00EE1CE5" w:rsidRDefault="00026FDE" w:rsidP="00836028">
      <w:pPr>
        <w:numPr>
          <w:ilvl w:val="0"/>
          <w:numId w:val="29"/>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точният часови диапазон, в който движението им в пешеходни зони е разрешено (например за доставки или в часове с ниска пешеходна интензивност).</w:t>
      </w:r>
    </w:p>
    <w:p w14:paraId="67353BAE"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Чрез подходяща комбинация от тези три елемента – задължителни знаци, забранителни знаци и пояснителни табели, общината би постигнала ясна, законосъобразна и видима регулация на движението на ИЕПС на нейната територия.</w:t>
      </w:r>
    </w:p>
    <w:p w14:paraId="003F668B"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VIII. Организация на общинската контролна структура по ЗДвП и ЗАНН</w:t>
      </w:r>
    </w:p>
    <w:p w14:paraId="1B4D9E4B"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Определяне на служба за контрол (чл. 167, ал. 2 ЗДвП).</w:t>
      </w:r>
      <w:r w:rsidRPr="00EE1CE5">
        <w:rPr>
          <w:rFonts w:ascii="Times New Roman" w:eastAsia="Times New Roman" w:hAnsi="Times New Roman" w:cs="Times New Roman"/>
          <w:kern w:val="0"/>
          <w:sz w:val="26"/>
          <w:szCs w:val="26"/>
          <w14:ligatures w14:val="none"/>
        </w:rPr>
        <w:t xml:space="preserve"> Основата на цялата контролна дейност върху ИЕПС в общината се поставя с административен акт на кмета – заповед, с която на основание чл. 167, ал. 2 ЗДвП се определя конкретна структура в общинската администрация (звено, дирекция, отдел) или обособено юридическо лице, контролирано от общината, като служба за контрол по смисъла на ЗДвП. Заповедта следва да съдържа предметния обхват на контролната дейност – регистрация и контрол по чл. 80а ЗДвП.</w:t>
      </w:r>
    </w:p>
    <w:p w14:paraId="711F2C6E" w14:textId="77777777"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Наредбата разграничава две групи длъжностни лица, определяни със заповед на кмета. </w:t>
      </w:r>
    </w:p>
    <w:p w14:paraId="7B0798F4" w14:textId="77777777"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Първата група са лицата, които вписват в регистъра и постановяват откази (чл. 3, ал. 2, т. 1). </w:t>
      </w:r>
    </w:p>
    <w:p w14:paraId="73EDB5F0" w14:textId="77777777" w:rsidR="00026FDE" w:rsidRPr="00EE1CE5" w:rsidRDefault="00026FDE"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Втората група са длъжностните лица от службите за контрол по чл. 167, ал. 2 ЗДвП, които имат достъп до регистъра (т. 2). </w:t>
      </w:r>
    </w:p>
    <w:p w14:paraId="0BBE54C7" w14:textId="0169BEB0"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Препоръчваме те да се определят поименно или по длъжност в отделни раздели на заповедта или с отделни заповеди и да не се смесват функциите по вписване </w:t>
      </w:r>
      <w:r w:rsidRPr="00EE1CE5">
        <w:rPr>
          <w:rFonts w:ascii="Times New Roman" w:eastAsia="Times New Roman" w:hAnsi="Times New Roman" w:cs="Times New Roman"/>
          <w:i/>
          <w:iCs/>
          <w:kern w:val="0"/>
          <w:sz w:val="26"/>
          <w:szCs w:val="26"/>
          <w14:ligatures w14:val="none"/>
        </w:rPr>
        <w:lastRenderedPageBreak/>
        <w:t>и по контрол. Контролните лица трябва да са определени и по заповедта по чл. 167, ал. 2 ЗДвП.</w:t>
      </w:r>
    </w:p>
    <w:p w14:paraId="1FC71AA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Достъпът се осигурява по следния ред. Кметът подава до председателя на ДАБДП заявление, в което посочва имената, длъжностите и обема на достъпа на лицата (чл. 3, ал. 3). Председателят осигурява достъпа в срок до пет работни дни от получаване на заявлението (ал. 4). При промяна на лицата кметът подава ново заявление в срок до три работни дни от издаването на съответната заповед (ал. 5). Длъжностните лица се идентифицират в регистъра със средства за електронна идентификация с ниво на осигуреност „високо“ по чл. 5, ал. 2 от Закона за електронното управление (ал. 7). Органите по чл. 165 ЗДвП (МВР) имат автоматизиран достъп чрез своите информационни системи и не зависят от заявление на кмета (ал. 6). Препоръчваме в заповедта да бъдат определени достатъчно заместници на контролните служители с достъп.</w:t>
      </w:r>
    </w:p>
    <w:p w14:paraId="34555F24"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Оправомощаване на длъжностни лица за съставяне на актове (чл. 189, ал. 1 ЗДвП).</w:t>
      </w:r>
      <w:r w:rsidRPr="00EE1CE5">
        <w:rPr>
          <w:rFonts w:ascii="Times New Roman" w:eastAsia="Times New Roman" w:hAnsi="Times New Roman" w:cs="Times New Roman"/>
          <w:kern w:val="0"/>
          <w:sz w:val="26"/>
          <w:szCs w:val="26"/>
          <w14:ligatures w14:val="none"/>
        </w:rPr>
        <w:t xml:space="preserve"> Съгласно чл. 189, ал. 1 ЗДвП актовете, с които се установяват нарушенията, се съставят от длъжностните лица на службите за контрол, предвидени в закона. Необходима е заповед на кмета на общината, с която поименно или по длъжност да се определят конкретните служители, които имат право да съставят актове за установяване на административни нарушения (АУАН) по чл. 80а ЗДвП. Съдебната практика последователно изисква това оправомощаване да е изрично и да предхожда съставянето на съответния акт. Липсата му е самостоятелно основание за отмяна на наказателното постановление. </w:t>
      </w:r>
      <w:r w:rsidRPr="00EE1CE5">
        <w:rPr>
          <w:rFonts w:ascii="Times New Roman" w:eastAsia="Times New Roman" w:hAnsi="Times New Roman" w:cs="Times New Roman"/>
          <w:i/>
          <w:iCs/>
          <w:kern w:val="0"/>
          <w:sz w:val="26"/>
          <w:szCs w:val="26"/>
          <w14:ligatures w14:val="none"/>
        </w:rPr>
        <w:t>Правото на достъп до регистъра по чл. 3, ал. 2, т. 2 от Наредбата не замества това оправомощаване.</w:t>
      </w:r>
    </w:p>
    <w:p w14:paraId="4A2FBAF3"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Определяне на наказващ орган (чл. 189, ал. 12 ЗДвП).</w:t>
      </w:r>
      <w:r w:rsidRPr="00EE1CE5">
        <w:rPr>
          <w:rFonts w:ascii="Times New Roman" w:eastAsia="Times New Roman" w:hAnsi="Times New Roman" w:cs="Times New Roman"/>
          <w:kern w:val="0"/>
          <w:sz w:val="26"/>
          <w:szCs w:val="26"/>
          <w14:ligatures w14:val="none"/>
        </w:rPr>
        <w:t xml:space="preserve"> Съгласно чл. 189, ал. 12 ЗДвП наказателните постановления по нарушения от компетентността на общините се издават от кмета на общината или от определени от него длъжностни лица.</w:t>
      </w:r>
    </w:p>
    <w:p w14:paraId="2423D212" w14:textId="04C2D923"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i/>
          <w:iCs/>
          <w:kern w:val="0"/>
          <w:sz w:val="26"/>
          <w:szCs w:val="26"/>
          <w14:ligatures w14:val="none"/>
        </w:rPr>
        <w:t>Уведомяване по чл. 15, ал. 2 от Наредбата.</w:t>
      </w:r>
      <w:r w:rsidRPr="00EE1CE5">
        <w:rPr>
          <w:rFonts w:ascii="Times New Roman" w:eastAsia="Times New Roman" w:hAnsi="Times New Roman" w:cs="Times New Roman"/>
          <w:kern w:val="0"/>
          <w:sz w:val="26"/>
          <w:szCs w:val="26"/>
          <w14:ligatures w14:val="none"/>
        </w:rPr>
        <w:t xml:space="preserve"> </w:t>
      </w:r>
      <w:r w:rsidRPr="00EE1CE5">
        <w:rPr>
          <w:rFonts w:ascii="Times New Roman" w:eastAsia="Times New Roman" w:hAnsi="Times New Roman" w:cs="Times New Roman"/>
          <w:i/>
          <w:iCs/>
          <w:kern w:val="0"/>
          <w:sz w:val="26"/>
          <w:szCs w:val="26"/>
          <w14:ligatures w14:val="none"/>
        </w:rPr>
        <w:t>Службата за контрол е длъжна да уведоми писмено общината по регистрацията на превозното средство в срок до три работни дни от установяване на нарушения, свързани с техническите характеристики на ИЕПС (чл. 15, ал. 2). Препоръчваме кметът да определи със заповед кой служител получава и изпраща уведомленията и да утвърди единен образец. Когато общината по регистрацията е друга, уведомлението се адресира до нея. Самото прекратяване на регистрацията извършват длъжностните лица по чл. 3, ал. 2, т. 1.</w:t>
      </w:r>
    </w:p>
    <w:p w14:paraId="0D3ED58F"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Констатиране на нарушението и съставяне на АУАН.</w:t>
      </w:r>
      <w:r w:rsidRPr="00EE1CE5">
        <w:rPr>
          <w:rFonts w:ascii="Times New Roman" w:eastAsia="Times New Roman" w:hAnsi="Times New Roman" w:cs="Times New Roman"/>
          <w:kern w:val="0"/>
          <w:sz w:val="26"/>
          <w:szCs w:val="26"/>
          <w14:ligatures w14:val="none"/>
        </w:rPr>
        <w:t xml:space="preserve"> Установяването на нарушение по чл. 80а ЗДвП от служител на общинската контролна служба преминава през регламентираните в ЗАНН етапи: съставяне на АУАН с необходимите реквизити по чл. 42 ЗАНН – точно описание на нарушението, време и място на извършването му, обстоятелствата, при които е извършено, </w:t>
      </w:r>
      <w:r w:rsidRPr="00EE1CE5">
        <w:rPr>
          <w:rFonts w:ascii="Times New Roman" w:eastAsia="Times New Roman" w:hAnsi="Times New Roman" w:cs="Times New Roman"/>
          <w:kern w:val="0"/>
          <w:sz w:val="26"/>
          <w:szCs w:val="26"/>
          <w14:ligatures w14:val="none"/>
        </w:rPr>
        <w:lastRenderedPageBreak/>
        <w:t>самоличност на нарушителя, свидетели (свидетел по акта може да бъде и служебно лице съгласно чл. 189, ал. 3 ЗДвП). Актът се съставя в присъствието на нарушителя, доколкото е възможно, и се връчва срещу подпис. При невъзможност – по реда на ЗАНН за връчване в отсъствие. Редовно съставеният акт има доказателствена сила до доказване на противното (чл. 189, ал. 2 ЗДвП).</w:t>
      </w:r>
    </w:p>
    <w:p w14:paraId="3E937A55" w14:textId="5477E3F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Издаване на наказателно постановление.</w:t>
      </w:r>
      <w:r w:rsidRPr="00EE1CE5">
        <w:rPr>
          <w:rFonts w:ascii="Times New Roman" w:eastAsia="Times New Roman" w:hAnsi="Times New Roman" w:cs="Times New Roman"/>
          <w:kern w:val="0"/>
          <w:sz w:val="26"/>
          <w:szCs w:val="26"/>
          <w14:ligatures w14:val="none"/>
        </w:rPr>
        <w:t xml:space="preserve"> Въз основа на съставения АУАН наказващият орган издава наказателно постановление (НП) в сроковете и с реквизитите по чл. 57 и следв. от ЗАНН, с което налага съответната санкция по чл. 183а ЗДвП. НП подлежи на връчване на нарушителя и на обжалване пред компетентния районен съд в срока по ЗАНН. </w:t>
      </w:r>
    </w:p>
    <w:p w14:paraId="3AC8EF3D"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Вътрешна методическа документация.</w:t>
      </w:r>
      <w:r w:rsidRPr="00EE1CE5">
        <w:rPr>
          <w:rFonts w:ascii="Times New Roman" w:eastAsia="Times New Roman" w:hAnsi="Times New Roman" w:cs="Times New Roman"/>
          <w:kern w:val="0"/>
          <w:sz w:val="26"/>
          <w:szCs w:val="26"/>
          <w14:ligatures w14:val="none"/>
        </w:rPr>
        <w:t xml:space="preserve"> Препоръчително е всяка община да разполага с вътрешен методически наръчник или инструкция за служителите от контролната служба, съдържащ:</w:t>
      </w:r>
    </w:p>
    <w:p w14:paraId="498EC144" w14:textId="77777777" w:rsidR="00026FDE" w:rsidRPr="00EE1CE5" w:rsidRDefault="00026FDE" w:rsidP="00836028">
      <w:pPr>
        <w:numPr>
          <w:ilvl w:val="0"/>
          <w:numId w:val="30"/>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образци на АУАН и придружаващи документи;</w:t>
      </w:r>
    </w:p>
    <w:p w14:paraId="049919D6" w14:textId="77777777" w:rsidR="00026FDE" w:rsidRPr="00EE1CE5" w:rsidRDefault="00026FDE" w:rsidP="00836028">
      <w:pPr>
        <w:numPr>
          <w:ilvl w:val="0"/>
          <w:numId w:val="30"/>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конкретна правна квалификация на всеки състав по чл. 80а ЗДвП с точно посочване на приложимата точка от ал. 1 или ал. 2 и съответната санкционна норма от чл. 183а ЗДвП;</w:t>
      </w:r>
    </w:p>
    <w:p w14:paraId="0080C8D7" w14:textId="77777777" w:rsidR="00026FDE" w:rsidRPr="00EE1CE5" w:rsidRDefault="00026FDE" w:rsidP="00836028">
      <w:pPr>
        <w:numPr>
          <w:ilvl w:val="0"/>
          <w:numId w:val="30"/>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ред за документиране на случаите, в които е констатирано нерегистрирано ИЕПС, до изясняване на въпроса по раздел V;</w:t>
      </w:r>
    </w:p>
    <w:p w14:paraId="67A58604" w14:textId="77777777" w:rsidR="00026FDE" w:rsidRPr="00EE1CE5" w:rsidRDefault="00026FDE" w:rsidP="00836028">
      <w:pPr>
        <w:numPr>
          <w:ilvl w:val="0"/>
          <w:numId w:val="30"/>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ред за проверка на наличието и разположението на регистрационните носители и за проверка на регистрацията в регистъра след началото на регистрацията (чл. 19 от Наредбата);</w:t>
      </w:r>
    </w:p>
    <w:p w14:paraId="54134436" w14:textId="77777777" w:rsidR="00026FDE" w:rsidRPr="00EE1CE5" w:rsidRDefault="00026FDE" w:rsidP="00836028">
      <w:pPr>
        <w:numPr>
          <w:ilvl w:val="0"/>
          <w:numId w:val="30"/>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образец и ред за уведомяване по чл. 15, ал. 2 от Наредбата.</w:t>
      </w:r>
    </w:p>
    <w:p w14:paraId="022C9B1F"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IX. Насоки за ефективно взаимодействие на общините с МВР</w:t>
      </w:r>
    </w:p>
    <w:p w14:paraId="04479D07"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Съществуването на паралелна компетентност между общинските служби за контрол и МВР по чл. 80а ЗДвП не отменя необходимостта от структурирано взаимодействие. Напротив, прави го наложително за избягване на дублиране, празноти в контрола и различна правна практика.</w:t>
      </w:r>
    </w:p>
    <w:p w14:paraId="4A5FC1D4"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Териториално и функционално разпределение на контрола.</w:t>
      </w:r>
      <w:r w:rsidRPr="00EE1CE5">
        <w:rPr>
          <w:rFonts w:ascii="Times New Roman" w:eastAsia="Times New Roman" w:hAnsi="Times New Roman" w:cs="Times New Roman"/>
          <w:kern w:val="0"/>
          <w:sz w:val="26"/>
          <w:szCs w:val="26"/>
          <w14:ligatures w14:val="none"/>
        </w:rPr>
        <w:t xml:space="preserve"> Препоръчително е чрез двустранни споразумения на местно ниво между кмета на общината и съответното РУ на МВР да се уточни ориентировъчно разпределение на приоритетните зони за контрол на територията на общината. Например МВР да съсредоточи вниманието си върху основните пътни артерии и кръстовища с интензивно движение, а общинските служби – върху паркове, пешеходни зони, централни градски части и училищни райони, където присъствието им е по-непосредствено и постоянно.</w:t>
      </w:r>
    </w:p>
    <w:p w14:paraId="569BB9E5" w14:textId="29C54FD0"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 xml:space="preserve">Съгласуване между общинските служби за контрол и органите на МВР относно провеждането на контролно-санкционната дейност до </w:t>
      </w:r>
      <w:r w:rsidRPr="00EE1CE5">
        <w:rPr>
          <w:rFonts w:ascii="Times New Roman" w:eastAsia="Times New Roman" w:hAnsi="Times New Roman" w:cs="Times New Roman"/>
          <w:b/>
          <w:bCs/>
          <w:i/>
          <w:iCs/>
          <w:kern w:val="0"/>
          <w:sz w:val="26"/>
          <w:szCs w:val="26"/>
          <w14:ligatures w14:val="none"/>
        </w:rPr>
        <w:t>практическото стартиране на регистрацията на ИЕПС</w:t>
      </w:r>
      <w:r w:rsidRPr="00EE1CE5">
        <w:rPr>
          <w:rFonts w:ascii="Times New Roman" w:eastAsia="Times New Roman" w:hAnsi="Times New Roman" w:cs="Times New Roman"/>
          <w:b/>
          <w:bCs/>
          <w:kern w:val="0"/>
          <w:sz w:val="26"/>
          <w:szCs w:val="26"/>
          <w14:ligatures w14:val="none"/>
        </w:rPr>
        <w:t>.</w:t>
      </w:r>
      <w:r w:rsidRPr="00EE1CE5">
        <w:rPr>
          <w:rFonts w:ascii="Times New Roman" w:eastAsia="Times New Roman" w:hAnsi="Times New Roman" w:cs="Times New Roman"/>
          <w:kern w:val="0"/>
          <w:sz w:val="26"/>
          <w:szCs w:val="26"/>
          <w14:ligatures w14:val="none"/>
        </w:rPr>
        <w:t xml:space="preserve"> </w:t>
      </w:r>
      <w:r w:rsidRPr="00EE1CE5">
        <w:rPr>
          <w:rFonts w:ascii="Times New Roman" w:eastAsia="Times New Roman" w:hAnsi="Times New Roman" w:cs="Times New Roman"/>
          <w:i/>
          <w:iCs/>
          <w:kern w:val="0"/>
          <w:sz w:val="26"/>
          <w:szCs w:val="26"/>
          <w14:ligatures w14:val="none"/>
        </w:rPr>
        <w:t xml:space="preserve">До практическото </w:t>
      </w:r>
      <w:r w:rsidRPr="00EE1CE5">
        <w:rPr>
          <w:rFonts w:ascii="Times New Roman" w:eastAsia="Times New Roman" w:hAnsi="Times New Roman" w:cs="Times New Roman"/>
          <w:i/>
          <w:iCs/>
          <w:kern w:val="0"/>
          <w:sz w:val="26"/>
          <w:szCs w:val="26"/>
          <w14:ligatures w14:val="none"/>
        </w:rPr>
        <w:lastRenderedPageBreak/>
        <w:t>стартиране на регистрацията по Наредбата (началото на октомври 2027 г.)</w:t>
      </w:r>
      <w:r w:rsidRPr="00EE1CE5">
        <w:rPr>
          <w:rFonts w:ascii="Times New Roman" w:eastAsia="Times New Roman" w:hAnsi="Times New Roman" w:cs="Times New Roman"/>
          <w:kern w:val="0"/>
          <w:sz w:val="26"/>
          <w:szCs w:val="26"/>
          <w14:ligatures w14:val="none"/>
        </w:rPr>
        <w:t xml:space="preserve"> е препоръчително общинските служби за контрол и органите на МВР съгласувано да се въздържат от санкциониране по законовия състав за нерегистрирано ИЕПС. Така се избягва разностранна практика между държавния и общинския контрол и неправомерно засягане на правата на водачите на ИЕПС. </w:t>
      </w:r>
      <w:r w:rsidRPr="00EE1CE5">
        <w:rPr>
          <w:rFonts w:ascii="Times New Roman" w:eastAsia="Times New Roman" w:hAnsi="Times New Roman" w:cs="Times New Roman"/>
          <w:i/>
          <w:iCs/>
          <w:kern w:val="0"/>
          <w:sz w:val="26"/>
          <w:szCs w:val="26"/>
          <w14:ligatures w14:val="none"/>
        </w:rPr>
        <w:t xml:space="preserve">Същото се отнася и за първоначалния период след стартирането, докато собствениците не получат възможност да се регистрират. </w:t>
      </w:r>
    </w:p>
    <w:p w14:paraId="2F377995"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i/>
          <w:iCs/>
          <w:kern w:val="0"/>
          <w:sz w:val="26"/>
          <w:szCs w:val="26"/>
          <w14:ligatures w14:val="none"/>
        </w:rPr>
        <w:t>Обмен на информация по Наредбата.</w:t>
      </w:r>
      <w:r w:rsidRPr="00EE1CE5">
        <w:rPr>
          <w:rFonts w:ascii="Times New Roman" w:eastAsia="Times New Roman" w:hAnsi="Times New Roman" w:cs="Times New Roman"/>
          <w:kern w:val="0"/>
          <w:sz w:val="26"/>
          <w:szCs w:val="26"/>
          <w14:ligatures w14:val="none"/>
        </w:rPr>
        <w:t xml:space="preserve"> </w:t>
      </w:r>
      <w:r w:rsidRPr="00EE1CE5">
        <w:rPr>
          <w:rFonts w:ascii="Times New Roman" w:eastAsia="Times New Roman" w:hAnsi="Times New Roman" w:cs="Times New Roman"/>
          <w:i/>
          <w:iCs/>
          <w:kern w:val="0"/>
          <w:sz w:val="26"/>
          <w:szCs w:val="26"/>
          <w14:ligatures w14:val="none"/>
        </w:rPr>
        <w:t>След стартирането на регистрацията органите на МВР и общинските служби за контрол ще уведомяват общината по регистрацията при несъответствие с определението на ИЕПС (чл. 15, ал. 2 от Наредбата), в срок до три работни дни. Препоръчително е взаимодействието да включва единен образец на уведомлението и ясно определени лица за контакт, така че уведомленията да достигат своевременно до общината по регистрацията, включително когато тя е друга.</w:t>
      </w:r>
    </w:p>
    <w:p w14:paraId="7E401879"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Съвместна превантивна дейност.</w:t>
      </w:r>
      <w:r w:rsidRPr="00EE1CE5">
        <w:rPr>
          <w:rFonts w:ascii="Times New Roman" w:eastAsia="Times New Roman" w:hAnsi="Times New Roman" w:cs="Times New Roman"/>
          <w:kern w:val="0"/>
          <w:sz w:val="26"/>
          <w:szCs w:val="26"/>
          <w14:ligatures w14:val="none"/>
        </w:rPr>
        <w:t xml:space="preserve"> Информационните кампании (с участие на училища и местни медии) имат по-голям обхват при съгласувано провеждане, отколкото при паралелни инициативи на МВР и общините поотделно.</w:t>
      </w:r>
    </w:p>
    <w:p w14:paraId="7BF7E7DE"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Прилагаме проект на споразумение за координация на превантивната и контролно-санкционната дейност по ИЕПС на територията на общината, който покрива минималното съдържание на сътрудничеството между органите на МВР и общините. Същото може да се адаптира към спецификата на всяка община.</w:t>
      </w:r>
    </w:p>
    <w:p w14:paraId="7087310C" w14:textId="50C51B36"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2308BBF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37E12E5D"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5FDD5EC2"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0B6792DF"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2DE00488"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4460C7FF"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2C46B0C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6CCA88D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72D38EA3"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4C95371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0ED42DE0"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36EFD9D7"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479CA396"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p>
    <w:p w14:paraId="30A8CE54" w14:textId="0BF4A485" w:rsidR="00814BB1" w:rsidRDefault="00814BB1">
      <w:pP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br w:type="page"/>
      </w:r>
    </w:p>
    <w:p w14:paraId="0D718DE0" w14:textId="7AE5AF74" w:rsidR="00026FDE" w:rsidRPr="00EE1CE5" w:rsidRDefault="00026FDE" w:rsidP="00836028">
      <w:pPr>
        <w:spacing w:after="120"/>
        <w:ind w:left="7788"/>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lastRenderedPageBreak/>
        <w:t>Проект!</w:t>
      </w:r>
    </w:p>
    <w:p w14:paraId="585C8F3C" w14:textId="77777777" w:rsidR="00026FDE" w:rsidRPr="00EE1CE5" w:rsidRDefault="00026FDE" w:rsidP="00836028">
      <w:pPr>
        <w:spacing w:after="120"/>
        <w:jc w:val="center"/>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СПОРАЗУМЕНИЕ</w:t>
      </w:r>
    </w:p>
    <w:p w14:paraId="71EFC7DC" w14:textId="77777777" w:rsidR="00026FDE" w:rsidRPr="00EE1CE5" w:rsidRDefault="00026FDE" w:rsidP="00836028">
      <w:pPr>
        <w:spacing w:after="120"/>
        <w:jc w:val="center"/>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ЗА КООРДИНАЦИЯ НА ПРЕВАНТИВНАТА И КОНТРОЛНО-САНКЦИОННАТА ДЕЙНОСТ ПО ИНДИВИДУАЛНИ ЕЛЕКТРИЧЕСКИ ПРЕВОЗНИ СРЕДСТВА (ИЕПС) НА ТЕРИТОРИЯТА НА ОБЩИНА _____________</w:t>
      </w:r>
    </w:p>
    <w:p w14:paraId="16D345AD"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Днес, _____________ 2026 г., в гр. _____________, между:</w:t>
      </w:r>
    </w:p>
    <w:p w14:paraId="4224AFFA"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ОБЩИНА _____________, представлявана от _____________ – кмет на общината, наричана по-долу за краткост „ОБЩИНАТА“,</w:t>
      </w:r>
    </w:p>
    <w:p w14:paraId="147FD128"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и</w:t>
      </w:r>
    </w:p>
    <w:p w14:paraId="06879C04"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ОБЛАСТНА ДИРЕКЦИЯ НА МВР – _____________ / СТОЛИЧНА ДИРЕКЦИЯ НА ВЪТРЕШНИТЕ РАБОТИ, представлявана от _____________ – директор, наричана по-долу за краткост „ОДМВР/СДВР“,</w:t>
      </w:r>
    </w:p>
    <w:p w14:paraId="1B78E693"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наричани заедно „СТРАНИТЕ“, а поотделно „СТРАНА“,</w:t>
      </w:r>
    </w:p>
    <w:p w14:paraId="56A16B9C" w14:textId="77777777" w:rsidR="006E672C"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 xml:space="preserve">на осн. чл. 165 и чл. 167, ал. 2, т. 5 ЗДвП </w:t>
      </w:r>
      <w:r w:rsidRPr="00EE1CE5">
        <w:rPr>
          <w:rFonts w:ascii="Times New Roman" w:eastAsia="Times New Roman" w:hAnsi="Times New Roman" w:cs="Times New Roman"/>
          <w:i/>
          <w:iCs/>
          <w:kern w:val="0"/>
          <w:sz w:val="26"/>
          <w:szCs w:val="26"/>
          <w14:ligatures w14:val="none"/>
        </w:rPr>
        <w:t>и чл. 15, ал. 2 от Наредбата за регистрацията на индивидуалните електрически превозни средства в общините (ПМС № 176 от 2.10.2026 г.)</w:t>
      </w:r>
      <w:r w:rsidRPr="00EE1CE5">
        <w:rPr>
          <w:rFonts w:ascii="Times New Roman" w:eastAsia="Times New Roman" w:hAnsi="Times New Roman" w:cs="Times New Roman"/>
          <w:kern w:val="0"/>
          <w:sz w:val="26"/>
          <w:szCs w:val="26"/>
          <w14:ligatures w14:val="none"/>
        </w:rPr>
        <w:t xml:space="preserve"> </w:t>
      </w:r>
    </w:p>
    <w:p w14:paraId="083253D2" w14:textId="19C5DC4E"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се сключи настоящото споразумение за следното:</w:t>
      </w:r>
    </w:p>
    <w:p w14:paraId="0DC65E88"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Раздел I. Предмет и цели на споразумението</w:t>
      </w:r>
    </w:p>
    <w:p w14:paraId="0E254693" w14:textId="77777777" w:rsidR="00026FDE" w:rsidRPr="00EE1CE5" w:rsidRDefault="00026FDE" w:rsidP="00836028">
      <w:pPr>
        <w:numPr>
          <w:ilvl w:val="0"/>
          <w:numId w:val="31"/>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Предмет на настоящото споразумение е координацията на превантивната и контролно-санкционната дейност по индивидуални електрически превозни средства (ИЕПС) на територията на общината, осъществявана от определената по чл. 167, ал. 2 ЗДвП служба за контрол на ОБЩИНАТА и от служителите на ОДМВР/СДВР, определени по чл. 165 ЗДвП.</w:t>
      </w:r>
    </w:p>
    <w:p w14:paraId="3E3B4568" w14:textId="5E820D79" w:rsidR="006E672C" w:rsidRPr="00970402" w:rsidRDefault="00026FDE" w:rsidP="00836028">
      <w:pPr>
        <w:numPr>
          <w:ilvl w:val="0"/>
          <w:numId w:val="31"/>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Целите на споразумението са:</w:t>
      </w:r>
      <w:r w:rsidRPr="00EE1CE5">
        <w:rPr>
          <w:rFonts w:ascii="Times New Roman" w:eastAsia="Times New Roman" w:hAnsi="Times New Roman" w:cs="Times New Roman"/>
          <w:kern w:val="0"/>
          <w:sz w:val="26"/>
          <w:szCs w:val="26"/>
          <w14:ligatures w14:val="none"/>
        </w:rPr>
        <w:br/>
        <w:t>а) оптимизиране на контролно-санкционната дейност за нарушения по чл. 80а ЗДвП на територията на общината;</w:t>
      </w:r>
      <w:r w:rsidRPr="00EE1CE5">
        <w:rPr>
          <w:rFonts w:ascii="Times New Roman" w:eastAsia="Times New Roman" w:hAnsi="Times New Roman" w:cs="Times New Roman"/>
          <w:kern w:val="0"/>
          <w:sz w:val="26"/>
          <w:szCs w:val="26"/>
          <w14:ligatures w14:val="none"/>
        </w:rPr>
        <w:br/>
        <w:t>б) координиране на съвместни превантивни и информационни инициативи, насочени към предотвратяване на нарушенията по буква „а“;</w:t>
      </w:r>
      <w:r w:rsidRPr="00EE1CE5">
        <w:rPr>
          <w:rFonts w:ascii="Times New Roman" w:eastAsia="Times New Roman" w:hAnsi="Times New Roman" w:cs="Times New Roman"/>
          <w:kern w:val="0"/>
          <w:sz w:val="26"/>
          <w:szCs w:val="26"/>
          <w14:ligatures w14:val="none"/>
        </w:rPr>
        <w:br/>
      </w:r>
      <w:r w:rsidRPr="00EE1CE5">
        <w:rPr>
          <w:rFonts w:ascii="Times New Roman" w:eastAsia="Times New Roman" w:hAnsi="Times New Roman" w:cs="Times New Roman"/>
          <w:i/>
          <w:iCs/>
          <w:kern w:val="0"/>
          <w:sz w:val="26"/>
          <w:szCs w:val="26"/>
          <w14:ligatures w14:val="none"/>
        </w:rPr>
        <w:t>в) осигуряване на своевременен обмен на информация между СТРАНИТЕ по реда на Наредбата за регистрацията на индивидуалните електрически превозни средства в общините.</w:t>
      </w:r>
    </w:p>
    <w:p w14:paraId="790F2942" w14:textId="5DB685E3"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Раздел II. Координация на контролно-санкционната дейност</w:t>
      </w:r>
    </w:p>
    <w:p w14:paraId="55AED1A5" w14:textId="77777777" w:rsidR="00026FDE" w:rsidRPr="00EE1CE5" w:rsidRDefault="00026FDE" w:rsidP="00836028">
      <w:pPr>
        <w:numPr>
          <w:ilvl w:val="0"/>
          <w:numId w:val="32"/>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СТРАНИТЕ съгласуват ежегодно, до 31 януари на текущата година, схема за разпределение на приоритетните зони за контрол на движението на ИЕПС на територията на общината, при отчитане на:</w:t>
      </w:r>
      <w:r w:rsidRPr="00EE1CE5">
        <w:rPr>
          <w:rFonts w:ascii="Times New Roman" w:eastAsia="Times New Roman" w:hAnsi="Times New Roman" w:cs="Times New Roman"/>
          <w:kern w:val="0"/>
          <w:sz w:val="26"/>
          <w:szCs w:val="26"/>
          <w14:ligatures w14:val="none"/>
        </w:rPr>
        <w:br/>
        <w:t>а) честотата на нарушенията по вид, място и време;</w:t>
      </w:r>
      <w:r w:rsidRPr="00EE1CE5">
        <w:rPr>
          <w:rFonts w:ascii="Times New Roman" w:eastAsia="Times New Roman" w:hAnsi="Times New Roman" w:cs="Times New Roman"/>
          <w:kern w:val="0"/>
          <w:sz w:val="26"/>
          <w:szCs w:val="26"/>
          <w14:ligatures w14:val="none"/>
        </w:rPr>
        <w:br/>
        <w:t>б) концентрацията на пътнотранспортни произшествия с участие на ИЕПС;</w:t>
      </w:r>
      <w:r w:rsidRPr="00EE1CE5">
        <w:rPr>
          <w:rFonts w:ascii="Times New Roman" w:eastAsia="Times New Roman" w:hAnsi="Times New Roman" w:cs="Times New Roman"/>
          <w:kern w:val="0"/>
          <w:sz w:val="26"/>
          <w:szCs w:val="26"/>
          <w14:ligatures w14:val="none"/>
        </w:rPr>
        <w:br/>
      </w:r>
      <w:r w:rsidRPr="00EE1CE5">
        <w:rPr>
          <w:rFonts w:ascii="Times New Roman" w:eastAsia="Times New Roman" w:hAnsi="Times New Roman" w:cs="Times New Roman"/>
          <w:kern w:val="0"/>
          <w:sz w:val="26"/>
          <w:szCs w:val="26"/>
          <w14:ligatures w14:val="none"/>
        </w:rPr>
        <w:lastRenderedPageBreak/>
        <w:t>в) интензивността на движението;</w:t>
      </w:r>
      <w:r w:rsidRPr="00EE1CE5">
        <w:rPr>
          <w:rFonts w:ascii="Times New Roman" w:eastAsia="Times New Roman" w:hAnsi="Times New Roman" w:cs="Times New Roman"/>
          <w:kern w:val="0"/>
          <w:sz w:val="26"/>
          <w:szCs w:val="26"/>
          <w14:ligatures w14:val="none"/>
        </w:rPr>
        <w:br/>
        <w:t>г) наличието на уязвими участници в движението (училища, детски и спортни площадки, паркове и др.).</w:t>
      </w:r>
    </w:p>
    <w:p w14:paraId="2EAD8CC5" w14:textId="77777777" w:rsidR="00026FDE" w:rsidRPr="00EE1CE5" w:rsidRDefault="00026FDE" w:rsidP="00836028">
      <w:pPr>
        <w:numPr>
          <w:ilvl w:val="0"/>
          <w:numId w:val="32"/>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ОДМВР/СДВР приоритетно провежда своята контролна дейност по чл. 80а ЗДвП върху основните пътни артерии, кръстовища и участъци с интензивно движение на моторни превозни средства, а службата за контрол на ОБЩИНАТА – върху паркове, пешеходни зони, централни градски части, велосипедна и тротоарна инфраструктура и училищни райони.</w:t>
      </w:r>
    </w:p>
    <w:p w14:paraId="52FE35A3" w14:textId="77777777" w:rsidR="00026FDE" w:rsidRPr="00EE1CE5" w:rsidRDefault="00026FDE" w:rsidP="00836028">
      <w:pPr>
        <w:numPr>
          <w:ilvl w:val="0"/>
          <w:numId w:val="32"/>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Разпределението по т. 3 не изключва правото на всяка от СТРАНИТЕ да упражнява контрол извън определените є приоритетни зони.</w:t>
      </w:r>
    </w:p>
    <w:p w14:paraId="7D5C8068" w14:textId="77777777" w:rsidR="00026FDE" w:rsidRPr="00EE1CE5" w:rsidRDefault="00026FDE" w:rsidP="00836028">
      <w:pPr>
        <w:numPr>
          <w:ilvl w:val="0"/>
          <w:numId w:val="32"/>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Схемата по т. 3 се актуализира по писмено искане на всяка от СТРАНИТЕ, включително при констатирана промяна в интензивността или характера на нарушенията.</w:t>
      </w:r>
    </w:p>
    <w:p w14:paraId="60B71FF3" w14:textId="77777777" w:rsidR="00026FDE" w:rsidRPr="00EE1CE5" w:rsidRDefault="00026FDE" w:rsidP="00836028">
      <w:pPr>
        <w:numPr>
          <w:ilvl w:val="0"/>
          <w:numId w:val="32"/>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СТРАНИТЕ определят лица за контакт, отговорни за оперативния обмен на информация по настоящото споразумение, чиито данни се посочват в Приложение № 1.</w:t>
      </w:r>
    </w:p>
    <w:p w14:paraId="3621C604" w14:textId="77777777" w:rsidR="00026FDE" w:rsidRPr="00EE1CE5" w:rsidRDefault="00026FDE" w:rsidP="00836028">
      <w:pPr>
        <w:numPr>
          <w:ilvl w:val="0"/>
          <w:numId w:val="32"/>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 xml:space="preserve">СТРАНИТЕ организират съвместни периодични обучения на служителите, ангажирани с контролната дейност по чл. 80а ЗДвП </w:t>
      </w:r>
      <w:r w:rsidRPr="00EE1CE5">
        <w:rPr>
          <w:rFonts w:ascii="Times New Roman" w:eastAsia="Times New Roman" w:hAnsi="Times New Roman" w:cs="Times New Roman"/>
          <w:i/>
          <w:iCs/>
          <w:kern w:val="0"/>
          <w:sz w:val="26"/>
          <w:szCs w:val="26"/>
          <w14:ligatures w14:val="none"/>
        </w:rPr>
        <w:t>и с прилагането на Наредбата за регистрацията на ИЕПС в общините</w:t>
      </w:r>
      <w:r w:rsidRPr="00EE1CE5">
        <w:rPr>
          <w:rFonts w:ascii="Times New Roman" w:eastAsia="Times New Roman" w:hAnsi="Times New Roman" w:cs="Times New Roman"/>
          <w:kern w:val="0"/>
          <w:sz w:val="26"/>
          <w:szCs w:val="26"/>
          <w14:ligatures w14:val="none"/>
        </w:rPr>
        <w:t>, с цел уеднаквяване на практиката по установяване и правна квалификация на нарушенията.</w:t>
      </w:r>
    </w:p>
    <w:p w14:paraId="6B6EEFA6" w14:textId="77777777" w:rsidR="00C37485" w:rsidRPr="00EE1CE5" w:rsidRDefault="00026FDE" w:rsidP="00836028">
      <w:pPr>
        <w:numPr>
          <w:ilvl w:val="0"/>
          <w:numId w:val="32"/>
        </w:num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След започване на прилагането на глава втора от Наредбата за регистрацията на ИЕПС в общините, когато служители на ОДМВР/СДВР или на службата за контрол на ОБЩИНАТА установят нарушения, свързани с техническите характеристики на ИЕПС, поради които то не съответства на определението по § 6, т. 18б от допълнителните разпоредби на ЗДвП, те уведомяват писмено общината по регистрацията на превозното средство в срока по чл. 15, ал. 2 от Наредбата (три работни дни от установяването). </w:t>
      </w:r>
    </w:p>
    <w:p w14:paraId="4861EA58" w14:textId="3E4BBA91" w:rsidR="00C37485" w:rsidRPr="00970402" w:rsidRDefault="00026FDE" w:rsidP="00970402">
      <w:pPr>
        <w:spacing w:after="120"/>
        <w:ind w:left="7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Когато общината по регистрацията е различна от ОБЩИНАТА, уведомлението се изпраща от установилата нарушението СТРАНА директно до нея. СТРАНИТЕ ползват единен образец на уведомление (Приложение № 2) и обменят информацията при спазване на изискванията за защита на личните данни. Настоящата точка не променя задълженията и компетентността на СТРАНИТЕ по Наредбата.</w:t>
      </w:r>
    </w:p>
    <w:p w14:paraId="684734A3" w14:textId="297A7A63" w:rsidR="00026FDE" w:rsidRPr="00EE1CE5" w:rsidRDefault="00EE1CE5"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 xml:space="preserve">РАЗДЕЛ </w:t>
      </w:r>
      <w:r w:rsidR="00026FDE" w:rsidRPr="00EE1CE5">
        <w:rPr>
          <w:rFonts w:ascii="Times New Roman" w:eastAsia="Times New Roman" w:hAnsi="Times New Roman" w:cs="Times New Roman"/>
          <w:b/>
          <w:bCs/>
          <w:kern w:val="0"/>
          <w:sz w:val="26"/>
          <w:szCs w:val="26"/>
          <w14:ligatures w14:val="none"/>
        </w:rPr>
        <w:t>III. Координация на превантивната дейност</w:t>
      </w:r>
    </w:p>
    <w:p w14:paraId="0EBB494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10.</w:t>
      </w:r>
      <w:r w:rsidRPr="00EE1CE5">
        <w:rPr>
          <w:rFonts w:ascii="Times New Roman" w:eastAsia="Times New Roman" w:hAnsi="Times New Roman" w:cs="Times New Roman"/>
          <w:kern w:val="0"/>
          <w:sz w:val="26"/>
          <w:szCs w:val="26"/>
          <w14:ligatures w14:val="none"/>
        </w:rPr>
        <w:t xml:space="preserve"> СТРАНИТЕ съгласуват помежду си, както и с РУО на МОН, ежегоден план за съвместни информационни и превантивни инициативи, насочени към безопасното използване на ИЕПС, с участие на институции в системата на предучилищното и </w:t>
      </w:r>
      <w:r w:rsidRPr="00EE1CE5">
        <w:rPr>
          <w:rFonts w:ascii="Times New Roman" w:eastAsia="Times New Roman" w:hAnsi="Times New Roman" w:cs="Times New Roman"/>
          <w:kern w:val="0"/>
          <w:sz w:val="26"/>
          <w:szCs w:val="26"/>
          <w14:ligatures w14:val="none"/>
        </w:rPr>
        <w:lastRenderedPageBreak/>
        <w:t>училищното образование, медии и заинтересовани страни на територията на общината.</w:t>
      </w:r>
    </w:p>
    <w:p w14:paraId="41F5F5A4"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11.</w:t>
      </w:r>
      <w:r w:rsidRPr="00EE1CE5">
        <w:rPr>
          <w:rFonts w:ascii="Times New Roman" w:eastAsia="Times New Roman" w:hAnsi="Times New Roman" w:cs="Times New Roman"/>
          <w:kern w:val="0"/>
          <w:sz w:val="26"/>
          <w:szCs w:val="26"/>
          <w14:ligatures w14:val="none"/>
        </w:rPr>
        <w:t xml:space="preserve"> Превантивните инициативи по </w:t>
      </w:r>
      <w:r w:rsidRPr="00EE1CE5">
        <w:rPr>
          <w:rFonts w:ascii="Times New Roman" w:eastAsia="Times New Roman" w:hAnsi="Times New Roman" w:cs="Times New Roman"/>
          <w:i/>
          <w:iCs/>
          <w:kern w:val="0"/>
          <w:sz w:val="26"/>
          <w:szCs w:val="26"/>
          <w14:ligatures w14:val="none"/>
        </w:rPr>
        <w:t>т. 10</w:t>
      </w:r>
      <w:r w:rsidRPr="00EE1CE5">
        <w:rPr>
          <w:rFonts w:ascii="Times New Roman" w:eastAsia="Times New Roman" w:hAnsi="Times New Roman" w:cs="Times New Roman"/>
          <w:kern w:val="0"/>
          <w:sz w:val="26"/>
          <w:szCs w:val="26"/>
          <w14:ligatures w14:val="none"/>
        </w:rPr>
        <w:t xml:space="preserve"> се планират съобразно данните за нарушенията и произшествията, установени в рамките на контролно-санкционната дейност по Раздел II, с цел насочване на превенцията към установените рискови зони и модели на нарушения.</w:t>
      </w:r>
    </w:p>
    <w:p w14:paraId="13DD62CE" w14:textId="77777777" w:rsidR="00026FDE" w:rsidRPr="00EE1CE5" w:rsidRDefault="00026FDE" w:rsidP="00836028">
      <w:pPr>
        <w:spacing w:after="120"/>
        <w:jc w:val="both"/>
        <w:rPr>
          <w:rFonts w:ascii="Times New Roman" w:eastAsia="Times New Roman" w:hAnsi="Times New Roman" w:cs="Times New Roman"/>
          <w:b/>
          <w:bCs/>
          <w:kern w:val="0"/>
          <w:sz w:val="26"/>
          <w:szCs w:val="26"/>
          <w14:ligatures w14:val="none"/>
        </w:rPr>
      </w:pPr>
      <w:r w:rsidRPr="00EE1CE5">
        <w:rPr>
          <w:rFonts w:ascii="Times New Roman" w:eastAsia="Times New Roman" w:hAnsi="Times New Roman" w:cs="Times New Roman"/>
          <w:b/>
          <w:bCs/>
          <w:kern w:val="0"/>
          <w:sz w:val="26"/>
          <w:szCs w:val="26"/>
          <w14:ligatures w14:val="none"/>
        </w:rPr>
        <w:t>Раздел IV. Заключителни разпоредби</w:t>
      </w:r>
    </w:p>
    <w:p w14:paraId="2F244497"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12.</w:t>
      </w:r>
      <w:r w:rsidRPr="00EE1CE5">
        <w:rPr>
          <w:rFonts w:ascii="Times New Roman" w:eastAsia="Times New Roman" w:hAnsi="Times New Roman" w:cs="Times New Roman"/>
          <w:kern w:val="0"/>
          <w:sz w:val="26"/>
          <w:szCs w:val="26"/>
          <w14:ligatures w14:val="none"/>
        </w:rPr>
        <w:t xml:space="preserve"> СТРАНИТЕ не разходват бюджетни средства в рамките на съвместните си дейности по Раздел II и Раздел III на настоящото споразумение.</w:t>
      </w:r>
    </w:p>
    <w:p w14:paraId="1D6820D6"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13.</w:t>
      </w:r>
      <w:r w:rsidRPr="00EE1CE5">
        <w:rPr>
          <w:rFonts w:ascii="Times New Roman" w:eastAsia="Times New Roman" w:hAnsi="Times New Roman" w:cs="Times New Roman"/>
          <w:kern w:val="0"/>
          <w:sz w:val="26"/>
          <w:szCs w:val="26"/>
          <w14:ligatures w14:val="none"/>
        </w:rPr>
        <w:t xml:space="preserve"> Настоящото споразумение не изменя и не ограничава законоустановената компетентност на СТРАНИТЕ.</w:t>
      </w:r>
    </w:p>
    <w:p w14:paraId="3EC06C43"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14.</w:t>
      </w:r>
      <w:r w:rsidRPr="00EE1CE5">
        <w:rPr>
          <w:rFonts w:ascii="Times New Roman" w:eastAsia="Times New Roman" w:hAnsi="Times New Roman" w:cs="Times New Roman"/>
          <w:kern w:val="0"/>
          <w:sz w:val="26"/>
          <w:szCs w:val="26"/>
          <w14:ligatures w14:val="none"/>
        </w:rPr>
        <w:t xml:space="preserve"> Настоящото споразумение влиза в сила от датата на подписването му от двете СТРАНИ и се сключва за срок от една календарна година, с автоматично подновяване за следващи едногодишни периоди. Всяка от СТРАНИТЕ има право да прекрати настоящото споразумение чрез писмено предизвестие, отправено до другата СТРАНА. Срокът на предизвестието е до 30 дни от получаването му от съответната СТРАНА.</w:t>
      </w:r>
    </w:p>
    <w:p w14:paraId="77061ADB"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15.</w:t>
      </w:r>
      <w:r w:rsidRPr="00EE1CE5">
        <w:rPr>
          <w:rFonts w:ascii="Times New Roman" w:eastAsia="Times New Roman" w:hAnsi="Times New Roman" w:cs="Times New Roman"/>
          <w:kern w:val="0"/>
          <w:sz w:val="26"/>
          <w:szCs w:val="26"/>
          <w14:ligatures w14:val="none"/>
        </w:rPr>
        <w:t xml:space="preserve"> Всяка от СТРАНИТЕ може да поиска изменение или допълнение на споразумението, като предложението се разглежда от другата СТРАНА в срок до 30 дни от неговото получаване.</w:t>
      </w:r>
    </w:p>
    <w:p w14:paraId="40413F91"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16.</w:t>
      </w:r>
      <w:r w:rsidRPr="00EE1CE5">
        <w:rPr>
          <w:rFonts w:ascii="Times New Roman" w:eastAsia="Times New Roman" w:hAnsi="Times New Roman" w:cs="Times New Roman"/>
          <w:kern w:val="0"/>
          <w:sz w:val="26"/>
          <w:szCs w:val="26"/>
          <w14:ligatures w14:val="none"/>
        </w:rPr>
        <w:t xml:space="preserve"> Спорове по тълкуването и изпълнението на споразумението се решават чрез преговори и постигане на съгласие между СТРАНИТЕ.</w:t>
      </w:r>
    </w:p>
    <w:p w14:paraId="223068D5"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i/>
          <w:iCs/>
          <w:kern w:val="0"/>
          <w:sz w:val="26"/>
          <w:szCs w:val="26"/>
          <w14:ligatures w14:val="none"/>
        </w:rPr>
        <w:t>17.</w:t>
      </w:r>
      <w:r w:rsidRPr="00EE1CE5">
        <w:rPr>
          <w:rFonts w:ascii="Times New Roman" w:eastAsia="Times New Roman" w:hAnsi="Times New Roman" w:cs="Times New Roman"/>
          <w:kern w:val="0"/>
          <w:sz w:val="26"/>
          <w:szCs w:val="26"/>
          <w14:ligatures w14:val="none"/>
        </w:rPr>
        <w:t xml:space="preserve"> Настоящото споразумение се изготви в два еднообразни екземпляра – по един за всяка от СТРАНИТЕ.</w:t>
      </w:r>
    </w:p>
    <w:p w14:paraId="05B06CA0" w14:textId="77777777" w:rsidR="00EE1CE5" w:rsidRDefault="00EE1CE5" w:rsidP="00836028">
      <w:pPr>
        <w:spacing w:after="120"/>
        <w:jc w:val="both"/>
        <w:rPr>
          <w:rFonts w:ascii="Times New Roman" w:eastAsia="Times New Roman" w:hAnsi="Times New Roman" w:cs="Times New Roman"/>
          <w:kern w:val="0"/>
          <w:sz w:val="26"/>
          <w:szCs w:val="26"/>
          <w14:ligatures w14:val="none"/>
        </w:rPr>
        <w:sectPr w:rsidR="00EE1CE5" w:rsidSect="00D823E8">
          <w:footerReference w:type="default" r:id="rId7"/>
          <w:type w:val="continuous"/>
          <w:pgSz w:w="11906" w:h="16838" w:code="9"/>
          <w:pgMar w:top="1417" w:right="1417" w:bottom="1417" w:left="1417" w:header="709" w:footer="709" w:gutter="0"/>
          <w:cols w:space="708"/>
          <w:docGrid w:linePitch="360"/>
        </w:sectPr>
      </w:pPr>
    </w:p>
    <w:p w14:paraId="13871A7F" w14:textId="77777777" w:rsidR="00EE1CE5" w:rsidRDefault="00EE1CE5" w:rsidP="00836028">
      <w:pPr>
        <w:spacing w:after="120"/>
        <w:jc w:val="both"/>
        <w:rPr>
          <w:rFonts w:ascii="Times New Roman" w:eastAsia="Times New Roman" w:hAnsi="Times New Roman" w:cs="Times New Roman"/>
          <w:kern w:val="0"/>
          <w:sz w:val="26"/>
          <w:szCs w:val="26"/>
          <w14:ligatures w14:val="none"/>
        </w:rPr>
      </w:pPr>
    </w:p>
    <w:p w14:paraId="35B09938" w14:textId="4B839F67" w:rsid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 xml:space="preserve">ЗА </w:t>
      </w:r>
      <w:r w:rsidR="00EE1CE5">
        <w:rPr>
          <w:rFonts w:ascii="Times New Roman" w:eastAsia="Times New Roman" w:hAnsi="Times New Roman" w:cs="Times New Roman"/>
          <w:kern w:val="0"/>
          <w:sz w:val="26"/>
          <w:szCs w:val="26"/>
          <w14:ligatures w14:val="none"/>
        </w:rPr>
        <w:tab/>
      </w:r>
      <w:r w:rsidRPr="00EE1CE5">
        <w:rPr>
          <w:rFonts w:ascii="Times New Roman" w:eastAsia="Times New Roman" w:hAnsi="Times New Roman" w:cs="Times New Roman"/>
          <w:kern w:val="0"/>
          <w:sz w:val="26"/>
          <w:szCs w:val="26"/>
          <w14:ligatures w14:val="none"/>
        </w:rPr>
        <w:t>ОБЩИНА _____________</w:t>
      </w:r>
      <w:r w:rsidRPr="00EE1CE5">
        <w:rPr>
          <w:rFonts w:ascii="Times New Roman" w:eastAsia="Times New Roman" w:hAnsi="Times New Roman" w:cs="Times New Roman"/>
          <w:kern w:val="0"/>
          <w:sz w:val="26"/>
          <w:szCs w:val="26"/>
          <w14:ligatures w14:val="none"/>
        </w:rPr>
        <w:br/>
      </w:r>
    </w:p>
    <w:p w14:paraId="36326DF9" w14:textId="36109854"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Кмет на община: _____________</w:t>
      </w:r>
    </w:p>
    <w:p w14:paraId="266A7DEC" w14:textId="77777777" w:rsidR="00EE1CE5" w:rsidRDefault="00EE1CE5" w:rsidP="00836028">
      <w:pPr>
        <w:spacing w:after="120"/>
        <w:jc w:val="both"/>
        <w:rPr>
          <w:rFonts w:ascii="Times New Roman" w:eastAsia="Times New Roman" w:hAnsi="Times New Roman" w:cs="Times New Roman"/>
          <w:kern w:val="0"/>
          <w:sz w:val="26"/>
          <w:szCs w:val="26"/>
          <w14:ligatures w14:val="none"/>
        </w:rPr>
      </w:pPr>
    </w:p>
    <w:p w14:paraId="49295D69" w14:textId="41103914" w:rsid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 xml:space="preserve">ЗА </w:t>
      </w:r>
      <w:r w:rsidR="00EE1CE5">
        <w:rPr>
          <w:rFonts w:ascii="Times New Roman" w:eastAsia="Times New Roman" w:hAnsi="Times New Roman" w:cs="Times New Roman"/>
          <w:kern w:val="0"/>
          <w:sz w:val="26"/>
          <w:szCs w:val="26"/>
          <w14:ligatures w14:val="none"/>
        </w:rPr>
        <w:tab/>
      </w:r>
      <w:r w:rsidRPr="00EE1CE5">
        <w:rPr>
          <w:rFonts w:ascii="Times New Roman" w:eastAsia="Times New Roman" w:hAnsi="Times New Roman" w:cs="Times New Roman"/>
          <w:kern w:val="0"/>
          <w:sz w:val="26"/>
          <w:szCs w:val="26"/>
          <w14:ligatures w14:val="none"/>
        </w:rPr>
        <w:t>ОДМВР/СДВР _____________</w:t>
      </w:r>
      <w:r w:rsidRPr="00EE1CE5">
        <w:rPr>
          <w:rFonts w:ascii="Times New Roman" w:eastAsia="Times New Roman" w:hAnsi="Times New Roman" w:cs="Times New Roman"/>
          <w:kern w:val="0"/>
          <w:sz w:val="26"/>
          <w:szCs w:val="26"/>
          <w14:ligatures w14:val="none"/>
        </w:rPr>
        <w:br/>
      </w:r>
    </w:p>
    <w:p w14:paraId="47B1C4F2" w14:textId="52F2D6DA"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Директор: _____________</w:t>
      </w:r>
    </w:p>
    <w:p w14:paraId="5C43DC90" w14:textId="77777777" w:rsidR="00EE1CE5" w:rsidRDefault="00EE1CE5" w:rsidP="00836028">
      <w:pPr>
        <w:spacing w:after="120"/>
        <w:jc w:val="both"/>
        <w:rPr>
          <w:rFonts w:ascii="Times New Roman" w:eastAsia="Times New Roman" w:hAnsi="Times New Roman" w:cs="Times New Roman"/>
          <w:b/>
          <w:bCs/>
          <w:kern w:val="0"/>
          <w:sz w:val="26"/>
          <w:szCs w:val="26"/>
          <w14:ligatures w14:val="none"/>
        </w:rPr>
        <w:sectPr w:rsidR="00EE1CE5" w:rsidSect="00EE1CE5">
          <w:type w:val="continuous"/>
          <w:pgSz w:w="11906" w:h="16838" w:code="9"/>
          <w:pgMar w:top="1417" w:right="1417" w:bottom="1417" w:left="1417" w:header="709" w:footer="709" w:gutter="0"/>
          <w:cols w:num="2" w:space="708"/>
          <w:docGrid w:linePitch="360"/>
        </w:sectPr>
      </w:pPr>
    </w:p>
    <w:p w14:paraId="42A7AFD0" w14:textId="77777777" w:rsidR="00EE1CE5" w:rsidRDefault="00EE1CE5" w:rsidP="00836028">
      <w:pPr>
        <w:spacing w:after="120"/>
        <w:ind w:left="3540" w:firstLine="708"/>
        <w:jc w:val="both"/>
        <w:rPr>
          <w:rFonts w:ascii="Times New Roman" w:eastAsia="Times New Roman" w:hAnsi="Times New Roman" w:cs="Times New Roman"/>
          <w:b/>
          <w:bCs/>
          <w:kern w:val="0"/>
          <w:sz w:val="26"/>
          <w:szCs w:val="26"/>
          <w14:ligatures w14:val="none"/>
        </w:rPr>
      </w:pPr>
    </w:p>
    <w:p w14:paraId="09DD4971" w14:textId="35B3DA27" w:rsidR="00026FDE" w:rsidRPr="00EE1CE5" w:rsidRDefault="00026FDE" w:rsidP="00836028">
      <w:pPr>
        <w:spacing w:after="120"/>
        <w:ind w:left="6372" w:firstLine="708"/>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b/>
          <w:bCs/>
          <w:kern w:val="0"/>
          <w:sz w:val="26"/>
          <w:szCs w:val="26"/>
          <w14:ligatures w14:val="none"/>
        </w:rPr>
        <w:t xml:space="preserve">Приложение № 1 </w:t>
      </w:r>
    </w:p>
    <w:p w14:paraId="09571925" w14:textId="77777777" w:rsidR="00026FDE" w:rsidRPr="00EE1CE5" w:rsidRDefault="00026FDE" w:rsidP="00836028">
      <w:pPr>
        <w:spacing w:after="120"/>
        <w:jc w:val="both"/>
        <w:rPr>
          <w:rFonts w:ascii="Times New Roman" w:eastAsia="Times New Roman" w:hAnsi="Times New Roman" w:cs="Times New Roman"/>
          <w:kern w:val="0"/>
          <w:sz w:val="26"/>
          <w:szCs w:val="26"/>
          <w14:ligatures w14:val="none"/>
        </w:rPr>
      </w:pPr>
      <w:r w:rsidRPr="00EE1CE5">
        <w:rPr>
          <w:rFonts w:ascii="Times New Roman" w:eastAsia="Times New Roman" w:hAnsi="Times New Roman" w:cs="Times New Roman"/>
          <w:kern w:val="0"/>
          <w:sz w:val="26"/>
          <w:szCs w:val="26"/>
          <w14:ligatures w14:val="none"/>
        </w:rPr>
        <w:t>Имена, длъжности, телефони и електронни адреси на определените от всяка от СТРАНИТЕ лица за оперативен контакт по настоящото споразумение.</w:t>
      </w:r>
    </w:p>
    <w:p w14:paraId="488F4CDD" w14:textId="77777777" w:rsidR="006E672C" w:rsidRPr="00EE1CE5" w:rsidRDefault="006E672C" w:rsidP="00836028">
      <w:pPr>
        <w:spacing w:after="120"/>
        <w:jc w:val="both"/>
        <w:rPr>
          <w:rFonts w:ascii="Times New Roman" w:eastAsia="Times New Roman" w:hAnsi="Times New Roman" w:cs="Times New Roman"/>
          <w:b/>
          <w:bCs/>
          <w:i/>
          <w:iCs/>
          <w:kern w:val="0"/>
          <w:sz w:val="26"/>
          <w:szCs w:val="26"/>
          <w14:ligatures w14:val="none"/>
        </w:rPr>
      </w:pPr>
    </w:p>
    <w:p w14:paraId="0098718F" w14:textId="77777777" w:rsidR="004C6969" w:rsidRPr="00EE1CE5" w:rsidRDefault="00026FDE" w:rsidP="00836028">
      <w:pPr>
        <w:spacing w:after="120"/>
        <w:ind w:left="6372" w:firstLine="708"/>
        <w:jc w:val="both"/>
        <w:rPr>
          <w:rFonts w:ascii="Times New Roman" w:eastAsia="Times New Roman" w:hAnsi="Times New Roman" w:cs="Times New Roman"/>
          <w:b/>
          <w:bCs/>
          <w:i/>
          <w:iCs/>
          <w:kern w:val="0"/>
          <w:sz w:val="26"/>
          <w:szCs w:val="26"/>
          <w14:ligatures w14:val="none"/>
        </w:rPr>
      </w:pPr>
      <w:r w:rsidRPr="00EE1CE5">
        <w:rPr>
          <w:rFonts w:ascii="Times New Roman" w:eastAsia="Times New Roman" w:hAnsi="Times New Roman" w:cs="Times New Roman"/>
          <w:b/>
          <w:bCs/>
          <w:i/>
          <w:iCs/>
          <w:kern w:val="0"/>
          <w:sz w:val="26"/>
          <w:szCs w:val="26"/>
          <w14:ligatures w14:val="none"/>
        </w:rPr>
        <w:t xml:space="preserve">Приложение № 2 </w:t>
      </w:r>
    </w:p>
    <w:p w14:paraId="68405FD1" w14:textId="4FC4C9EE" w:rsidR="00EE1CE5" w:rsidRDefault="00EE1CE5" w:rsidP="00836028">
      <w:pPr>
        <w:spacing w:after="12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Образецът</w:t>
      </w:r>
      <w:r>
        <w:rPr>
          <w:rFonts w:ascii="Times New Roman" w:eastAsia="Times New Roman" w:hAnsi="Times New Roman" w:cs="Times New Roman"/>
          <w:i/>
          <w:iCs/>
          <w:kern w:val="0"/>
          <w:sz w:val="26"/>
          <w:szCs w:val="26"/>
          <w14:ligatures w14:val="none"/>
        </w:rPr>
        <w:t xml:space="preserve"> </w:t>
      </w:r>
      <w:r w:rsidRPr="00EE1CE5">
        <w:rPr>
          <w:rFonts w:ascii="Times New Roman" w:eastAsia="Times New Roman" w:hAnsi="Times New Roman" w:cs="Times New Roman"/>
          <w:i/>
          <w:iCs/>
          <w:kern w:val="0"/>
          <w:sz w:val="26"/>
          <w:szCs w:val="26"/>
          <w14:ligatures w14:val="none"/>
        </w:rPr>
        <w:t xml:space="preserve">съдържа: </w:t>
      </w:r>
    </w:p>
    <w:p w14:paraId="4F27CE9E" w14:textId="6F32AC46" w:rsidR="00EE1CE5" w:rsidRPr="00EE1CE5" w:rsidRDefault="00EE1CE5" w:rsidP="00836028">
      <w:pPr>
        <w:pStyle w:val="ListParagraph"/>
        <w:numPr>
          <w:ilvl w:val="0"/>
          <w:numId w:val="36"/>
        </w:numPr>
        <w:spacing w:after="120"/>
        <w:contextualSpacing w:val="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Установилата страна и длъжностното лице; </w:t>
      </w:r>
    </w:p>
    <w:p w14:paraId="203A0DA2" w14:textId="780C8F88" w:rsidR="00EE1CE5" w:rsidRPr="00EE1CE5" w:rsidRDefault="00EE1CE5" w:rsidP="00836028">
      <w:pPr>
        <w:pStyle w:val="ListParagraph"/>
        <w:numPr>
          <w:ilvl w:val="0"/>
          <w:numId w:val="36"/>
        </w:numPr>
        <w:spacing w:after="120"/>
        <w:contextualSpacing w:val="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lastRenderedPageBreak/>
        <w:t xml:space="preserve">Дата, час и място на проверката; </w:t>
      </w:r>
    </w:p>
    <w:p w14:paraId="2994D8E5" w14:textId="77777777" w:rsidR="00EE1CE5" w:rsidRDefault="00EE1CE5" w:rsidP="00836028">
      <w:pPr>
        <w:pStyle w:val="ListParagraph"/>
        <w:numPr>
          <w:ilvl w:val="0"/>
          <w:numId w:val="36"/>
        </w:numPr>
        <w:spacing w:after="120"/>
        <w:contextualSpacing w:val="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Регистрационен номер, фабричен или сериен номер, марка и модел на ИЕПС; </w:t>
      </w:r>
    </w:p>
    <w:p w14:paraId="54D960C2" w14:textId="17DB382C" w:rsidR="00EE1CE5" w:rsidRPr="00EE1CE5" w:rsidRDefault="00EE1CE5" w:rsidP="00836028">
      <w:pPr>
        <w:pStyle w:val="ListParagraph"/>
        <w:numPr>
          <w:ilvl w:val="0"/>
          <w:numId w:val="36"/>
        </w:numPr>
        <w:spacing w:after="120"/>
        <w:contextualSpacing w:val="0"/>
        <w:jc w:val="both"/>
        <w:rPr>
          <w:rFonts w:ascii="Times New Roman" w:eastAsia="Times New Roman" w:hAnsi="Times New Roman" w:cs="Times New Roman"/>
          <w:i/>
          <w:iCs/>
          <w:kern w:val="0"/>
          <w:sz w:val="26"/>
          <w:szCs w:val="26"/>
          <w14:ligatures w14:val="none"/>
        </w:rPr>
      </w:pPr>
      <w:r>
        <w:rPr>
          <w:rFonts w:ascii="Times New Roman" w:eastAsia="Times New Roman" w:hAnsi="Times New Roman" w:cs="Times New Roman"/>
          <w:i/>
          <w:iCs/>
          <w:kern w:val="0"/>
          <w:sz w:val="26"/>
          <w:szCs w:val="26"/>
          <w14:ligatures w14:val="none"/>
        </w:rPr>
        <w:t>Д</w:t>
      </w:r>
      <w:r w:rsidRPr="00EE1CE5">
        <w:rPr>
          <w:rFonts w:ascii="Times New Roman" w:eastAsia="Times New Roman" w:hAnsi="Times New Roman" w:cs="Times New Roman"/>
          <w:i/>
          <w:iCs/>
          <w:kern w:val="0"/>
          <w:sz w:val="26"/>
          <w:szCs w:val="26"/>
          <w14:ligatures w14:val="none"/>
        </w:rPr>
        <w:t xml:space="preserve">анни за собственика, ако са известни; </w:t>
      </w:r>
    </w:p>
    <w:p w14:paraId="6F5AB4E7" w14:textId="1752129A" w:rsidR="00EE1CE5" w:rsidRPr="00EE1CE5" w:rsidRDefault="00EE1CE5" w:rsidP="00836028">
      <w:pPr>
        <w:pStyle w:val="ListParagraph"/>
        <w:numPr>
          <w:ilvl w:val="0"/>
          <w:numId w:val="36"/>
        </w:numPr>
        <w:spacing w:after="120"/>
        <w:contextualSpacing w:val="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Описание на констатираното несъответствие с определението по § 6, т. 18б от допълнителните разпоредби на ЗД</w:t>
      </w:r>
      <w:r>
        <w:rPr>
          <w:rFonts w:ascii="Times New Roman" w:eastAsia="Times New Roman" w:hAnsi="Times New Roman" w:cs="Times New Roman"/>
          <w:i/>
          <w:iCs/>
          <w:kern w:val="0"/>
          <w:sz w:val="26"/>
          <w:szCs w:val="26"/>
          <w14:ligatures w14:val="none"/>
        </w:rPr>
        <w:t>в</w:t>
      </w:r>
      <w:r w:rsidRPr="00EE1CE5">
        <w:rPr>
          <w:rFonts w:ascii="Times New Roman" w:eastAsia="Times New Roman" w:hAnsi="Times New Roman" w:cs="Times New Roman"/>
          <w:i/>
          <w:iCs/>
          <w:kern w:val="0"/>
          <w:sz w:val="26"/>
          <w:szCs w:val="26"/>
          <w14:ligatures w14:val="none"/>
        </w:rPr>
        <w:t xml:space="preserve">П; </w:t>
      </w:r>
    </w:p>
    <w:p w14:paraId="010BD80F" w14:textId="77777777" w:rsidR="00EE1CE5" w:rsidRDefault="00EE1CE5" w:rsidP="00836028">
      <w:pPr>
        <w:pStyle w:val="ListParagraph"/>
        <w:numPr>
          <w:ilvl w:val="0"/>
          <w:numId w:val="36"/>
        </w:numPr>
        <w:spacing w:after="120"/>
        <w:contextualSpacing w:val="0"/>
        <w:jc w:val="both"/>
        <w:rPr>
          <w:rFonts w:ascii="Times New Roman" w:eastAsia="Times New Roman" w:hAnsi="Times New Roman" w:cs="Times New Roman"/>
          <w:i/>
          <w:iCs/>
          <w:kern w:val="0"/>
          <w:sz w:val="26"/>
          <w:szCs w:val="26"/>
          <w14:ligatures w14:val="none"/>
        </w:rPr>
      </w:pPr>
      <w:r w:rsidRPr="00EE1CE5">
        <w:rPr>
          <w:rFonts w:ascii="Times New Roman" w:eastAsia="Times New Roman" w:hAnsi="Times New Roman" w:cs="Times New Roman"/>
          <w:i/>
          <w:iCs/>
          <w:kern w:val="0"/>
          <w:sz w:val="26"/>
          <w:szCs w:val="26"/>
          <w14:ligatures w14:val="none"/>
        </w:rPr>
        <w:t xml:space="preserve">Приложен снимков материал; </w:t>
      </w:r>
    </w:p>
    <w:p w14:paraId="1E1D7FF4" w14:textId="61BEC737" w:rsidR="00026FDE" w:rsidRPr="00EE1CE5" w:rsidRDefault="00EE1CE5" w:rsidP="00836028">
      <w:pPr>
        <w:pStyle w:val="ListParagraph"/>
        <w:numPr>
          <w:ilvl w:val="0"/>
          <w:numId w:val="36"/>
        </w:numPr>
        <w:spacing w:after="120"/>
        <w:contextualSpacing w:val="0"/>
        <w:jc w:val="both"/>
        <w:rPr>
          <w:rFonts w:ascii="Times New Roman" w:eastAsia="Times New Roman" w:hAnsi="Times New Roman" w:cs="Times New Roman"/>
          <w:i/>
          <w:iCs/>
          <w:kern w:val="0"/>
          <w:sz w:val="26"/>
          <w:szCs w:val="26"/>
          <w14:ligatures w14:val="none"/>
        </w:rPr>
      </w:pPr>
      <w:r>
        <w:rPr>
          <w:rFonts w:ascii="Times New Roman" w:eastAsia="Times New Roman" w:hAnsi="Times New Roman" w:cs="Times New Roman"/>
          <w:i/>
          <w:iCs/>
          <w:kern w:val="0"/>
          <w:sz w:val="26"/>
          <w:szCs w:val="26"/>
          <w14:ligatures w14:val="none"/>
        </w:rPr>
        <w:t>О</w:t>
      </w:r>
      <w:r w:rsidRPr="00EE1CE5">
        <w:rPr>
          <w:rFonts w:ascii="Times New Roman" w:eastAsia="Times New Roman" w:hAnsi="Times New Roman" w:cs="Times New Roman"/>
          <w:i/>
          <w:iCs/>
          <w:kern w:val="0"/>
          <w:sz w:val="26"/>
          <w:szCs w:val="26"/>
          <w14:ligatures w14:val="none"/>
        </w:rPr>
        <w:t>бщината по регистрацията, до която е адресирано уведомлението.</w:t>
      </w:r>
    </w:p>
    <w:p w14:paraId="1D3C6332" w14:textId="77777777" w:rsidR="00D57AF9" w:rsidRPr="004C6969" w:rsidRDefault="00D57AF9" w:rsidP="00836028">
      <w:pPr>
        <w:spacing w:after="120"/>
        <w:jc w:val="both"/>
        <w:rPr>
          <w:sz w:val="26"/>
          <w:szCs w:val="26"/>
        </w:rPr>
      </w:pPr>
    </w:p>
    <w:sectPr w:rsidR="00D57AF9" w:rsidRPr="004C6969" w:rsidSect="00D823E8">
      <w:type w:val="continuous"/>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315AA" w14:textId="77777777" w:rsidR="00A91BE4" w:rsidRPr="00EE1CE5" w:rsidRDefault="00A91BE4" w:rsidP="005E6FA4">
      <w:pPr>
        <w:spacing w:after="0" w:line="240" w:lineRule="auto"/>
      </w:pPr>
      <w:r w:rsidRPr="00EE1CE5">
        <w:separator/>
      </w:r>
    </w:p>
  </w:endnote>
  <w:endnote w:type="continuationSeparator" w:id="0">
    <w:p w14:paraId="7DD2FEB9" w14:textId="77777777" w:rsidR="00A91BE4" w:rsidRPr="00EE1CE5" w:rsidRDefault="00A91BE4" w:rsidP="005E6FA4">
      <w:pPr>
        <w:spacing w:after="0" w:line="240" w:lineRule="auto"/>
      </w:pPr>
      <w:r w:rsidRPr="00EE1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716564"/>
      <w:docPartObj>
        <w:docPartGallery w:val="Page Numbers (Bottom of Page)"/>
        <w:docPartUnique/>
      </w:docPartObj>
    </w:sdtPr>
    <w:sdtEndPr/>
    <w:sdtContent>
      <w:p w14:paraId="50125583" w14:textId="40CF43EA" w:rsidR="005E6FA4" w:rsidRPr="00EE1CE5" w:rsidRDefault="005E6FA4">
        <w:pPr>
          <w:pStyle w:val="Footer"/>
          <w:jc w:val="right"/>
        </w:pPr>
        <w:r w:rsidRPr="00EE1CE5">
          <w:fldChar w:fldCharType="begin"/>
        </w:r>
        <w:r w:rsidRPr="00EE1CE5">
          <w:instrText xml:space="preserve"> PAGE   \* MERGEFORMAT </w:instrText>
        </w:r>
        <w:r w:rsidRPr="00EE1CE5">
          <w:fldChar w:fldCharType="separate"/>
        </w:r>
        <w:r w:rsidRPr="00EE1CE5">
          <w:t>2</w:t>
        </w:r>
        <w:r w:rsidRPr="00EE1CE5">
          <w:fldChar w:fldCharType="end"/>
        </w:r>
      </w:p>
    </w:sdtContent>
  </w:sdt>
  <w:p w14:paraId="1FCFC88C" w14:textId="77777777" w:rsidR="005E6FA4" w:rsidRPr="00EE1CE5" w:rsidRDefault="005E6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E8848" w14:textId="77777777" w:rsidR="00A91BE4" w:rsidRPr="00EE1CE5" w:rsidRDefault="00A91BE4" w:rsidP="005E6FA4">
      <w:pPr>
        <w:spacing w:after="0" w:line="240" w:lineRule="auto"/>
      </w:pPr>
      <w:r w:rsidRPr="00EE1CE5">
        <w:separator/>
      </w:r>
    </w:p>
  </w:footnote>
  <w:footnote w:type="continuationSeparator" w:id="0">
    <w:p w14:paraId="6E75EC4B" w14:textId="77777777" w:rsidR="00A91BE4" w:rsidRPr="00EE1CE5" w:rsidRDefault="00A91BE4" w:rsidP="005E6FA4">
      <w:pPr>
        <w:spacing w:after="0" w:line="240" w:lineRule="auto"/>
      </w:pPr>
      <w:r w:rsidRPr="00EE1CE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A49"/>
    <w:multiLevelType w:val="multilevel"/>
    <w:tmpl w:val="409607C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349EC"/>
    <w:multiLevelType w:val="multilevel"/>
    <w:tmpl w:val="660C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67C87"/>
    <w:multiLevelType w:val="multilevel"/>
    <w:tmpl w:val="26F8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20863"/>
    <w:multiLevelType w:val="hybridMultilevel"/>
    <w:tmpl w:val="BB3A2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D57AC"/>
    <w:multiLevelType w:val="multilevel"/>
    <w:tmpl w:val="4EE0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7778E"/>
    <w:multiLevelType w:val="multilevel"/>
    <w:tmpl w:val="98BE19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11FE3"/>
    <w:multiLevelType w:val="hybridMultilevel"/>
    <w:tmpl w:val="FEF8F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710733"/>
    <w:multiLevelType w:val="multilevel"/>
    <w:tmpl w:val="C088C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91F23"/>
    <w:multiLevelType w:val="hybridMultilevel"/>
    <w:tmpl w:val="AABC822A"/>
    <w:lvl w:ilvl="0" w:tplc="0402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EB5540"/>
    <w:multiLevelType w:val="multilevel"/>
    <w:tmpl w:val="960C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B495E"/>
    <w:multiLevelType w:val="multilevel"/>
    <w:tmpl w:val="B10ED78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306BBF"/>
    <w:multiLevelType w:val="multilevel"/>
    <w:tmpl w:val="BF42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525855"/>
    <w:multiLevelType w:val="hybridMultilevel"/>
    <w:tmpl w:val="FDDEC624"/>
    <w:lvl w:ilvl="0" w:tplc="0402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5847C3"/>
    <w:multiLevelType w:val="multilevel"/>
    <w:tmpl w:val="ADC8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D80E37"/>
    <w:multiLevelType w:val="hybridMultilevel"/>
    <w:tmpl w:val="B1B6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AF4F30"/>
    <w:multiLevelType w:val="multilevel"/>
    <w:tmpl w:val="51827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C91707"/>
    <w:multiLevelType w:val="hybridMultilevel"/>
    <w:tmpl w:val="4BE2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8A671E"/>
    <w:multiLevelType w:val="hybridMultilevel"/>
    <w:tmpl w:val="8702C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2A21AD"/>
    <w:multiLevelType w:val="hybridMultilevel"/>
    <w:tmpl w:val="63900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24186"/>
    <w:multiLevelType w:val="multilevel"/>
    <w:tmpl w:val="D17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E17063"/>
    <w:multiLevelType w:val="hybridMultilevel"/>
    <w:tmpl w:val="920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083BF4"/>
    <w:multiLevelType w:val="multilevel"/>
    <w:tmpl w:val="6B4C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1F29DF"/>
    <w:multiLevelType w:val="hybridMultilevel"/>
    <w:tmpl w:val="1424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1A198E"/>
    <w:multiLevelType w:val="multilevel"/>
    <w:tmpl w:val="1B40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E90E7D"/>
    <w:multiLevelType w:val="multilevel"/>
    <w:tmpl w:val="E402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00CD7"/>
    <w:multiLevelType w:val="multilevel"/>
    <w:tmpl w:val="71A0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656444"/>
    <w:multiLevelType w:val="multilevel"/>
    <w:tmpl w:val="B55E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4A21D8"/>
    <w:multiLevelType w:val="multilevel"/>
    <w:tmpl w:val="1BB8B9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2B0898"/>
    <w:multiLevelType w:val="multilevel"/>
    <w:tmpl w:val="C11C0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C03EBD"/>
    <w:multiLevelType w:val="hybridMultilevel"/>
    <w:tmpl w:val="3334B4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F67226"/>
    <w:multiLevelType w:val="hybridMultilevel"/>
    <w:tmpl w:val="B242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CE212B"/>
    <w:multiLevelType w:val="hybridMultilevel"/>
    <w:tmpl w:val="414ECA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4BF0B67"/>
    <w:multiLevelType w:val="multilevel"/>
    <w:tmpl w:val="211A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2962C2"/>
    <w:multiLevelType w:val="multilevel"/>
    <w:tmpl w:val="F8FE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9E605C"/>
    <w:multiLevelType w:val="hybridMultilevel"/>
    <w:tmpl w:val="F9361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A03896"/>
    <w:multiLevelType w:val="multilevel"/>
    <w:tmpl w:val="42F6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769890">
    <w:abstractNumId w:val="14"/>
  </w:num>
  <w:num w:numId="2" w16cid:durableId="1517226848">
    <w:abstractNumId w:val="3"/>
  </w:num>
  <w:num w:numId="3" w16cid:durableId="260114852">
    <w:abstractNumId w:val="12"/>
  </w:num>
  <w:num w:numId="4" w16cid:durableId="404186548">
    <w:abstractNumId w:val="31"/>
  </w:num>
  <w:num w:numId="5" w16cid:durableId="1572426452">
    <w:abstractNumId w:val="30"/>
  </w:num>
  <w:num w:numId="6" w16cid:durableId="940603157">
    <w:abstractNumId w:val="20"/>
  </w:num>
  <w:num w:numId="7" w16cid:durableId="1223785730">
    <w:abstractNumId w:val="34"/>
  </w:num>
  <w:num w:numId="8" w16cid:durableId="319306935">
    <w:abstractNumId w:val="6"/>
  </w:num>
  <w:num w:numId="9" w16cid:durableId="2136409539">
    <w:abstractNumId w:val="17"/>
  </w:num>
  <w:num w:numId="10" w16cid:durableId="1051465972">
    <w:abstractNumId w:val="8"/>
  </w:num>
  <w:num w:numId="11" w16cid:durableId="206570528">
    <w:abstractNumId w:val="4"/>
  </w:num>
  <w:num w:numId="12" w16cid:durableId="880870041">
    <w:abstractNumId w:val="13"/>
  </w:num>
  <w:num w:numId="13" w16cid:durableId="1035420598">
    <w:abstractNumId w:val="11"/>
  </w:num>
  <w:num w:numId="14" w16cid:durableId="1216158872">
    <w:abstractNumId w:val="1"/>
  </w:num>
  <w:num w:numId="15" w16cid:durableId="145627430">
    <w:abstractNumId w:val="33"/>
  </w:num>
  <w:num w:numId="16" w16cid:durableId="2035231730">
    <w:abstractNumId w:val="7"/>
  </w:num>
  <w:num w:numId="17" w16cid:durableId="936324242">
    <w:abstractNumId w:val="26"/>
  </w:num>
  <w:num w:numId="18" w16cid:durableId="1583297225">
    <w:abstractNumId w:val="19"/>
  </w:num>
  <w:num w:numId="19" w16cid:durableId="87628419">
    <w:abstractNumId w:val="28"/>
  </w:num>
  <w:num w:numId="20" w16cid:durableId="841047996">
    <w:abstractNumId w:val="27"/>
  </w:num>
  <w:num w:numId="21" w16cid:durableId="1547647253">
    <w:abstractNumId w:val="0"/>
  </w:num>
  <w:num w:numId="22" w16cid:durableId="920211300">
    <w:abstractNumId w:val="10"/>
  </w:num>
  <w:num w:numId="23" w16cid:durableId="2002804952">
    <w:abstractNumId w:val="35"/>
  </w:num>
  <w:num w:numId="24" w16cid:durableId="1781610954">
    <w:abstractNumId w:val="9"/>
  </w:num>
  <w:num w:numId="25" w16cid:durableId="384110863">
    <w:abstractNumId w:val="2"/>
  </w:num>
  <w:num w:numId="26" w16cid:durableId="931208821">
    <w:abstractNumId w:val="15"/>
  </w:num>
  <w:num w:numId="27" w16cid:durableId="1714380716">
    <w:abstractNumId w:val="24"/>
  </w:num>
  <w:num w:numId="28" w16cid:durableId="124854740">
    <w:abstractNumId w:val="21"/>
  </w:num>
  <w:num w:numId="29" w16cid:durableId="334575083">
    <w:abstractNumId w:val="23"/>
  </w:num>
  <w:num w:numId="30" w16cid:durableId="1440761238">
    <w:abstractNumId w:val="25"/>
  </w:num>
  <w:num w:numId="31" w16cid:durableId="1959070505">
    <w:abstractNumId w:val="32"/>
  </w:num>
  <w:num w:numId="32" w16cid:durableId="190412347">
    <w:abstractNumId w:val="5"/>
  </w:num>
  <w:num w:numId="33" w16cid:durableId="1390765889">
    <w:abstractNumId w:val="16"/>
  </w:num>
  <w:num w:numId="34" w16cid:durableId="323356627">
    <w:abstractNumId w:val="22"/>
  </w:num>
  <w:num w:numId="35" w16cid:durableId="1890608745">
    <w:abstractNumId w:val="18"/>
  </w:num>
  <w:num w:numId="36" w16cid:durableId="136131678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93D"/>
    <w:rsid w:val="00006290"/>
    <w:rsid w:val="00016A97"/>
    <w:rsid w:val="00026FDE"/>
    <w:rsid w:val="0002754B"/>
    <w:rsid w:val="0005753E"/>
    <w:rsid w:val="000630EF"/>
    <w:rsid w:val="0006453D"/>
    <w:rsid w:val="00066126"/>
    <w:rsid w:val="000711E9"/>
    <w:rsid w:val="000905F9"/>
    <w:rsid w:val="000A14E2"/>
    <w:rsid w:val="000B6F83"/>
    <w:rsid w:val="000D1B82"/>
    <w:rsid w:val="000D300B"/>
    <w:rsid w:val="000E1F37"/>
    <w:rsid w:val="000F2FC6"/>
    <w:rsid w:val="001044E0"/>
    <w:rsid w:val="00114D0D"/>
    <w:rsid w:val="00117779"/>
    <w:rsid w:val="00154624"/>
    <w:rsid w:val="00170E96"/>
    <w:rsid w:val="00172ACC"/>
    <w:rsid w:val="00174703"/>
    <w:rsid w:val="00182091"/>
    <w:rsid w:val="00194002"/>
    <w:rsid w:val="0019795B"/>
    <w:rsid w:val="001A1A99"/>
    <w:rsid w:val="001A54E5"/>
    <w:rsid w:val="001C69A4"/>
    <w:rsid w:val="001D211B"/>
    <w:rsid w:val="001E2F72"/>
    <w:rsid w:val="002053A8"/>
    <w:rsid w:val="002169E8"/>
    <w:rsid w:val="00217AD5"/>
    <w:rsid w:val="00224563"/>
    <w:rsid w:val="002514FD"/>
    <w:rsid w:val="0025188F"/>
    <w:rsid w:val="002533D0"/>
    <w:rsid w:val="002544D1"/>
    <w:rsid w:val="00263E08"/>
    <w:rsid w:val="00264F13"/>
    <w:rsid w:val="00277259"/>
    <w:rsid w:val="00285C54"/>
    <w:rsid w:val="002A2284"/>
    <w:rsid w:val="002E068E"/>
    <w:rsid w:val="002E6155"/>
    <w:rsid w:val="002E7C44"/>
    <w:rsid w:val="002F1ABE"/>
    <w:rsid w:val="003126B6"/>
    <w:rsid w:val="0031719A"/>
    <w:rsid w:val="003204CE"/>
    <w:rsid w:val="003218E6"/>
    <w:rsid w:val="003425FA"/>
    <w:rsid w:val="00354876"/>
    <w:rsid w:val="003922E0"/>
    <w:rsid w:val="003B060C"/>
    <w:rsid w:val="003C7E53"/>
    <w:rsid w:val="003E5418"/>
    <w:rsid w:val="003E62AB"/>
    <w:rsid w:val="003E67B3"/>
    <w:rsid w:val="003F1F59"/>
    <w:rsid w:val="004053AF"/>
    <w:rsid w:val="00412139"/>
    <w:rsid w:val="00415AB1"/>
    <w:rsid w:val="00442660"/>
    <w:rsid w:val="00446E1B"/>
    <w:rsid w:val="00451649"/>
    <w:rsid w:val="00455C16"/>
    <w:rsid w:val="00467011"/>
    <w:rsid w:val="00467579"/>
    <w:rsid w:val="00467F27"/>
    <w:rsid w:val="004701EB"/>
    <w:rsid w:val="0049242D"/>
    <w:rsid w:val="004B1B98"/>
    <w:rsid w:val="004C6969"/>
    <w:rsid w:val="00511EE6"/>
    <w:rsid w:val="00515436"/>
    <w:rsid w:val="00547969"/>
    <w:rsid w:val="005527A4"/>
    <w:rsid w:val="005579DB"/>
    <w:rsid w:val="00570709"/>
    <w:rsid w:val="005750BB"/>
    <w:rsid w:val="00583D70"/>
    <w:rsid w:val="00584D94"/>
    <w:rsid w:val="00591441"/>
    <w:rsid w:val="00593471"/>
    <w:rsid w:val="00597C59"/>
    <w:rsid w:val="005A4D03"/>
    <w:rsid w:val="005B4C8C"/>
    <w:rsid w:val="005C57A0"/>
    <w:rsid w:val="005D3A90"/>
    <w:rsid w:val="005E6FA4"/>
    <w:rsid w:val="005F1831"/>
    <w:rsid w:val="006030FA"/>
    <w:rsid w:val="0062310E"/>
    <w:rsid w:val="00653CFB"/>
    <w:rsid w:val="0065652E"/>
    <w:rsid w:val="00662B7D"/>
    <w:rsid w:val="006638B9"/>
    <w:rsid w:val="0067077F"/>
    <w:rsid w:val="00670AE1"/>
    <w:rsid w:val="00673A64"/>
    <w:rsid w:val="00675E7A"/>
    <w:rsid w:val="0068458F"/>
    <w:rsid w:val="0068493D"/>
    <w:rsid w:val="00694EC2"/>
    <w:rsid w:val="006A49D4"/>
    <w:rsid w:val="006B5197"/>
    <w:rsid w:val="006C13CD"/>
    <w:rsid w:val="006C46FA"/>
    <w:rsid w:val="006C5858"/>
    <w:rsid w:val="006E672C"/>
    <w:rsid w:val="006F7C19"/>
    <w:rsid w:val="00711C65"/>
    <w:rsid w:val="0073536D"/>
    <w:rsid w:val="0073779A"/>
    <w:rsid w:val="00752FBF"/>
    <w:rsid w:val="007542FD"/>
    <w:rsid w:val="00756040"/>
    <w:rsid w:val="007560BB"/>
    <w:rsid w:val="00761354"/>
    <w:rsid w:val="00774A29"/>
    <w:rsid w:val="007810D5"/>
    <w:rsid w:val="0079343C"/>
    <w:rsid w:val="007A2C55"/>
    <w:rsid w:val="007A6E2B"/>
    <w:rsid w:val="007D2FE1"/>
    <w:rsid w:val="007F43B1"/>
    <w:rsid w:val="00814BB1"/>
    <w:rsid w:val="00836028"/>
    <w:rsid w:val="00837D75"/>
    <w:rsid w:val="00844525"/>
    <w:rsid w:val="00867C2C"/>
    <w:rsid w:val="00887AE4"/>
    <w:rsid w:val="00891767"/>
    <w:rsid w:val="008943BB"/>
    <w:rsid w:val="008A3385"/>
    <w:rsid w:val="008A64F0"/>
    <w:rsid w:val="008F12CE"/>
    <w:rsid w:val="008F58B5"/>
    <w:rsid w:val="00902A61"/>
    <w:rsid w:val="0092133C"/>
    <w:rsid w:val="00923BA4"/>
    <w:rsid w:val="0092648C"/>
    <w:rsid w:val="009427EC"/>
    <w:rsid w:val="0095437E"/>
    <w:rsid w:val="00970402"/>
    <w:rsid w:val="00974423"/>
    <w:rsid w:val="00984184"/>
    <w:rsid w:val="00984592"/>
    <w:rsid w:val="009869C1"/>
    <w:rsid w:val="00993403"/>
    <w:rsid w:val="009959CB"/>
    <w:rsid w:val="00997A2E"/>
    <w:rsid w:val="009A1F06"/>
    <w:rsid w:val="009B1602"/>
    <w:rsid w:val="009B3D6E"/>
    <w:rsid w:val="009B41AC"/>
    <w:rsid w:val="009C00EA"/>
    <w:rsid w:val="009C0B67"/>
    <w:rsid w:val="009C6DDE"/>
    <w:rsid w:val="009D5801"/>
    <w:rsid w:val="009E7AD8"/>
    <w:rsid w:val="009F4822"/>
    <w:rsid w:val="00A111A0"/>
    <w:rsid w:val="00A17976"/>
    <w:rsid w:val="00A2115E"/>
    <w:rsid w:val="00A225E4"/>
    <w:rsid w:val="00A26393"/>
    <w:rsid w:val="00A377EF"/>
    <w:rsid w:val="00A43B1F"/>
    <w:rsid w:val="00A468F5"/>
    <w:rsid w:val="00A54DF9"/>
    <w:rsid w:val="00A767AE"/>
    <w:rsid w:val="00A90A82"/>
    <w:rsid w:val="00A91BE4"/>
    <w:rsid w:val="00AB0A5B"/>
    <w:rsid w:val="00AC0096"/>
    <w:rsid w:val="00AC5ACD"/>
    <w:rsid w:val="00AC76D2"/>
    <w:rsid w:val="00AD077B"/>
    <w:rsid w:val="00AD1671"/>
    <w:rsid w:val="00AD19A6"/>
    <w:rsid w:val="00AD5034"/>
    <w:rsid w:val="00AE100A"/>
    <w:rsid w:val="00AE5FD7"/>
    <w:rsid w:val="00AE69CD"/>
    <w:rsid w:val="00AF0403"/>
    <w:rsid w:val="00AF29E5"/>
    <w:rsid w:val="00B10817"/>
    <w:rsid w:val="00B21172"/>
    <w:rsid w:val="00B37DCA"/>
    <w:rsid w:val="00B54149"/>
    <w:rsid w:val="00B6352D"/>
    <w:rsid w:val="00B67060"/>
    <w:rsid w:val="00B74D5D"/>
    <w:rsid w:val="00B8561C"/>
    <w:rsid w:val="00BA04E9"/>
    <w:rsid w:val="00BD569C"/>
    <w:rsid w:val="00BE341F"/>
    <w:rsid w:val="00BE5144"/>
    <w:rsid w:val="00BE5928"/>
    <w:rsid w:val="00BF3790"/>
    <w:rsid w:val="00C033E8"/>
    <w:rsid w:val="00C11B81"/>
    <w:rsid w:val="00C1442B"/>
    <w:rsid w:val="00C24006"/>
    <w:rsid w:val="00C253E4"/>
    <w:rsid w:val="00C2739C"/>
    <w:rsid w:val="00C34DA6"/>
    <w:rsid w:val="00C37485"/>
    <w:rsid w:val="00C5447D"/>
    <w:rsid w:val="00C7019D"/>
    <w:rsid w:val="00C92EB0"/>
    <w:rsid w:val="00CA4023"/>
    <w:rsid w:val="00CB0AFA"/>
    <w:rsid w:val="00CC05B7"/>
    <w:rsid w:val="00CC2F25"/>
    <w:rsid w:val="00CD60ED"/>
    <w:rsid w:val="00CF0458"/>
    <w:rsid w:val="00CF09B3"/>
    <w:rsid w:val="00CF0B8A"/>
    <w:rsid w:val="00D038CA"/>
    <w:rsid w:val="00D115AD"/>
    <w:rsid w:val="00D145E7"/>
    <w:rsid w:val="00D17DA8"/>
    <w:rsid w:val="00D206AB"/>
    <w:rsid w:val="00D22B80"/>
    <w:rsid w:val="00D50B75"/>
    <w:rsid w:val="00D57AF9"/>
    <w:rsid w:val="00D656DE"/>
    <w:rsid w:val="00D823E8"/>
    <w:rsid w:val="00D96303"/>
    <w:rsid w:val="00DA348C"/>
    <w:rsid w:val="00DA7C65"/>
    <w:rsid w:val="00DD3C86"/>
    <w:rsid w:val="00DD522D"/>
    <w:rsid w:val="00DE1ECC"/>
    <w:rsid w:val="00DE4785"/>
    <w:rsid w:val="00DE679D"/>
    <w:rsid w:val="00DF770F"/>
    <w:rsid w:val="00E057B8"/>
    <w:rsid w:val="00E06578"/>
    <w:rsid w:val="00E260A5"/>
    <w:rsid w:val="00E26FED"/>
    <w:rsid w:val="00E333D3"/>
    <w:rsid w:val="00E40B29"/>
    <w:rsid w:val="00E908B3"/>
    <w:rsid w:val="00E95E33"/>
    <w:rsid w:val="00EB179D"/>
    <w:rsid w:val="00EE1CE5"/>
    <w:rsid w:val="00EE3A09"/>
    <w:rsid w:val="00F25A28"/>
    <w:rsid w:val="00F44E62"/>
    <w:rsid w:val="00F45660"/>
    <w:rsid w:val="00F5056C"/>
    <w:rsid w:val="00F56959"/>
    <w:rsid w:val="00F72352"/>
    <w:rsid w:val="00F725F6"/>
    <w:rsid w:val="00F74882"/>
    <w:rsid w:val="00F81588"/>
    <w:rsid w:val="00FA01D9"/>
    <w:rsid w:val="00FB3D36"/>
    <w:rsid w:val="00FC2304"/>
    <w:rsid w:val="00FE322E"/>
    <w:rsid w:val="00FF0193"/>
    <w:rsid w:val="00FF2B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DEC1"/>
  <w15:chartTrackingRefBased/>
  <w15:docId w15:val="{7A9C74EF-D97F-4874-917E-D1B2C0365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6849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49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49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49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49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49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9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9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9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93D"/>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68493D"/>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68493D"/>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68493D"/>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68493D"/>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68493D"/>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68493D"/>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68493D"/>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68493D"/>
    <w:rPr>
      <w:rFonts w:eastAsiaTheme="majorEastAsia" w:cstheme="majorBidi"/>
      <w:noProof/>
      <w:color w:val="272727" w:themeColor="text1" w:themeTint="D8"/>
    </w:rPr>
  </w:style>
  <w:style w:type="paragraph" w:styleId="Title">
    <w:name w:val="Title"/>
    <w:basedOn w:val="Normal"/>
    <w:next w:val="Normal"/>
    <w:link w:val="TitleChar"/>
    <w:uiPriority w:val="10"/>
    <w:qFormat/>
    <w:rsid w:val="006849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93D"/>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6849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93D"/>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68493D"/>
    <w:pPr>
      <w:spacing w:before="160"/>
      <w:jc w:val="center"/>
    </w:pPr>
    <w:rPr>
      <w:i/>
      <w:iCs/>
      <w:color w:val="404040" w:themeColor="text1" w:themeTint="BF"/>
    </w:rPr>
  </w:style>
  <w:style w:type="character" w:customStyle="1" w:styleId="QuoteChar">
    <w:name w:val="Quote Char"/>
    <w:basedOn w:val="DefaultParagraphFont"/>
    <w:link w:val="Quote"/>
    <w:uiPriority w:val="29"/>
    <w:rsid w:val="0068493D"/>
    <w:rPr>
      <w:i/>
      <w:iCs/>
      <w:noProof/>
      <w:color w:val="404040" w:themeColor="text1" w:themeTint="BF"/>
    </w:rPr>
  </w:style>
  <w:style w:type="paragraph" w:styleId="ListParagraph">
    <w:name w:val="List Paragraph"/>
    <w:basedOn w:val="Normal"/>
    <w:uiPriority w:val="34"/>
    <w:qFormat/>
    <w:rsid w:val="0068493D"/>
    <w:pPr>
      <w:ind w:left="720"/>
      <w:contextualSpacing/>
    </w:pPr>
  </w:style>
  <w:style w:type="character" w:styleId="IntenseEmphasis">
    <w:name w:val="Intense Emphasis"/>
    <w:basedOn w:val="DefaultParagraphFont"/>
    <w:uiPriority w:val="21"/>
    <w:qFormat/>
    <w:rsid w:val="0068493D"/>
    <w:rPr>
      <w:i/>
      <w:iCs/>
      <w:color w:val="2F5496" w:themeColor="accent1" w:themeShade="BF"/>
    </w:rPr>
  </w:style>
  <w:style w:type="paragraph" w:styleId="IntenseQuote">
    <w:name w:val="Intense Quote"/>
    <w:basedOn w:val="Normal"/>
    <w:next w:val="Normal"/>
    <w:link w:val="IntenseQuoteChar"/>
    <w:uiPriority w:val="30"/>
    <w:qFormat/>
    <w:rsid w:val="006849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493D"/>
    <w:rPr>
      <w:i/>
      <w:iCs/>
      <w:noProof/>
      <w:color w:val="2F5496" w:themeColor="accent1" w:themeShade="BF"/>
    </w:rPr>
  </w:style>
  <w:style w:type="character" w:styleId="IntenseReference">
    <w:name w:val="Intense Reference"/>
    <w:basedOn w:val="DefaultParagraphFont"/>
    <w:uiPriority w:val="32"/>
    <w:qFormat/>
    <w:rsid w:val="0068493D"/>
    <w:rPr>
      <w:b/>
      <w:bCs/>
      <w:smallCaps/>
      <w:color w:val="2F5496" w:themeColor="accent1" w:themeShade="BF"/>
      <w:spacing w:val="5"/>
    </w:rPr>
  </w:style>
  <w:style w:type="paragraph" w:styleId="Header">
    <w:name w:val="header"/>
    <w:basedOn w:val="Normal"/>
    <w:link w:val="HeaderChar"/>
    <w:uiPriority w:val="99"/>
    <w:unhideWhenUsed/>
    <w:rsid w:val="005E6FA4"/>
    <w:pPr>
      <w:tabs>
        <w:tab w:val="center" w:pos="4703"/>
        <w:tab w:val="right" w:pos="9406"/>
      </w:tabs>
      <w:spacing w:after="0" w:line="240" w:lineRule="auto"/>
    </w:pPr>
  </w:style>
  <w:style w:type="character" w:customStyle="1" w:styleId="HeaderChar">
    <w:name w:val="Header Char"/>
    <w:basedOn w:val="DefaultParagraphFont"/>
    <w:link w:val="Header"/>
    <w:uiPriority w:val="99"/>
    <w:rsid w:val="005E6FA4"/>
    <w:rPr>
      <w:noProof/>
      <w:lang w:val="en-US"/>
    </w:rPr>
  </w:style>
  <w:style w:type="paragraph" w:styleId="Footer">
    <w:name w:val="footer"/>
    <w:basedOn w:val="Normal"/>
    <w:link w:val="FooterChar"/>
    <w:uiPriority w:val="99"/>
    <w:unhideWhenUsed/>
    <w:rsid w:val="005E6FA4"/>
    <w:pPr>
      <w:tabs>
        <w:tab w:val="center" w:pos="4703"/>
        <w:tab w:val="right" w:pos="9406"/>
      </w:tabs>
      <w:spacing w:after="0" w:line="240" w:lineRule="auto"/>
    </w:pPr>
  </w:style>
  <w:style w:type="character" w:customStyle="1" w:styleId="FooterChar">
    <w:name w:val="Footer Char"/>
    <w:basedOn w:val="DefaultParagraphFont"/>
    <w:link w:val="Footer"/>
    <w:uiPriority w:val="99"/>
    <w:rsid w:val="005E6FA4"/>
    <w:rPr>
      <w:noProof/>
      <w:lang w:val="en-US"/>
    </w:rPr>
  </w:style>
  <w:style w:type="paragraph" w:styleId="NoSpacing">
    <w:name w:val="No Spacing"/>
    <w:uiPriority w:val="1"/>
    <w:qFormat/>
    <w:rsid w:val="004C6969"/>
    <w:pPr>
      <w:spacing w:after="0" w:line="240" w:lineRule="auto"/>
    </w:pPr>
    <w:rPr>
      <w:noProof/>
    </w:rPr>
  </w:style>
  <w:style w:type="paragraph" w:styleId="NormalWeb">
    <w:name w:val="Normal (Web)"/>
    <w:basedOn w:val="Normal"/>
    <w:uiPriority w:val="99"/>
    <w:semiHidden/>
    <w:unhideWhenUsed/>
    <w:rsid w:val="00EE1CE5"/>
    <w:pPr>
      <w:spacing w:before="100" w:beforeAutospacing="1" w:after="100" w:afterAutospacing="1" w:line="240" w:lineRule="auto"/>
    </w:pPr>
    <w:rPr>
      <w:rFonts w:ascii="Times New Roman" w:eastAsia="Times New Roman" w:hAnsi="Times New Roman" w:cs="Times New Roman"/>
      <w:noProof w:val="0"/>
      <w:kern w:val="0"/>
      <w:sz w:val="24"/>
      <w:szCs w:val="24"/>
      <w:lang w:val="en-US"/>
      <w14:ligatures w14:val="none"/>
    </w:rPr>
  </w:style>
  <w:style w:type="character" w:styleId="Emphasis">
    <w:name w:val="Emphasis"/>
    <w:basedOn w:val="DefaultParagraphFont"/>
    <w:uiPriority w:val="20"/>
    <w:qFormat/>
    <w:rsid w:val="00EE1CE5"/>
    <w:rPr>
      <w:i/>
      <w:iCs/>
    </w:rPr>
  </w:style>
  <w:style w:type="character" w:styleId="Strong">
    <w:name w:val="Strong"/>
    <w:basedOn w:val="DefaultParagraphFont"/>
    <w:uiPriority w:val="22"/>
    <w:qFormat/>
    <w:rsid w:val="00EE1C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14</Pages>
  <Words>4506</Words>
  <Characters>25687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p.petrov</dc:creator>
  <cp:keywords/>
  <dc:description/>
  <cp:lastModifiedBy>p.petrov</cp:lastModifiedBy>
  <cp:revision>17</cp:revision>
  <dcterms:created xsi:type="dcterms:W3CDTF">2026-10-06T10:10:00Z</dcterms:created>
  <dcterms:modified xsi:type="dcterms:W3CDTF">2026-10-15T12:44:00Z</dcterms:modified>
</cp:coreProperties>
</file>